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val="en-US" w:eastAsia="zh-CN"/>
        </w:rPr>
        <w:t>特克斯县幼儿园</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val="en-US" w:eastAsia="zh-CN"/>
        </w:rPr>
        <w:t>特克斯县幼儿园</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28</w:t>
      </w:r>
      <w:r>
        <w:rPr>
          <w:rFonts w:hint="eastAsia" w:hAnsi="宋体" w:eastAsia="仿宋_GB2312" w:cs="宋体"/>
          <w:kern w:val="0"/>
          <w:sz w:val="36"/>
          <w:szCs w:val="36"/>
        </w:rPr>
        <w:t>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hint="eastAsia"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widowControl/>
        <w:spacing w:line="580" w:lineRule="exact"/>
        <w:ind w:firstLine="640"/>
        <w:jc w:val="left"/>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1.认真贯彻执行《幼儿园工作规程》，结合本校的特点和个体差异及时制定好各类教育工作计划，并认真实施，有计划有步骤地开展班级教育工作。</w:t>
      </w:r>
    </w:p>
    <w:p>
      <w:pPr>
        <w:widowControl/>
        <w:spacing w:line="580" w:lineRule="exact"/>
        <w:ind w:firstLine="640"/>
        <w:jc w:val="left"/>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2.树立正确的儿童观、教育观，热爱儿童、尊重儿童，对儿童做到关心、细心、耐心，不偏爱，坚持正面教育，严禁体罚和变相体罚。</w:t>
      </w:r>
    </w:p>
    <w:p>
      <w:pPr>
        <w:widowControl/>
        <w:spacing w:line="580" w:lineRule="exact"/>
        <w:ind w:firstLine="640"/>
        <w:jc w:val="left"/>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3.认真及时制订教育活动计划，钻研教材，研究教法，引导幼儿主动学习。观察、分析并记录小学儿童发展情况，因材施教。</w:t>
      </w:r>
    </w:p>
    <w:p>
      <w:pPr>
        <w:widowControl/>
        <w:spacing w:line="580" w:lineRule="exact"/>
        <w:ind w:firstLine="640"/>
        <w:jc w:val="left"/>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4.科学、合理地安排学生的日常活动，认真执行学校的各项教育常规及学校的安全、卫生保健制度。定期进行总结，不断提高工作质量。</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特克斯县幼儿园</w:t>
      </w:r>
      <w:r>
        <w:rPr>
          <w:rStyle w:val="16"/>
          <w:rFonts w:hint="eastAsia" w:ascii="仿宋_GB2312" w:hAnsi="楷体" w:eastAsia="仿宋_GB2312"/>
          <w:b w:val="0"/>
          <w:spacing w:val="-4"/>
          <w:sz w:val="28"/>
          <w:szCs w:val="28"/>
        </w:rPr>
        <w:t>无下属预算单位，下设5个科室，分别是：党建办、办公室、财务室、教务处、保健室。</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（2）2021年</w:t>
      </w:r>
      <w:r>
        <w:rPr>
          <w:rStyle w:val="16"/>
          <w:rFonts w:hint="eastAsia" w:ascii="仿宋_GB2312" w:hAnsi="楷体" w:eastAsia="仿宋_GB2312"/>
          <w:b w:val="0"/>
          <w:spacing w:val="-4"/>
          <w:sz w:val="28"/>
          <w:szCs w:val="28"/>
          <w:lang w:val="en-US" w:eastAsia="zh-CN"/>
        </w:rPr>
        <w:t>特克斯县幼儿园</w:t>
      </w:r>
      <w:r>
        <w:rPr>
          <w:rStyle w:val="16"/>
          <w:rFonts w:hint="eastAsia" w:ascii="仿宋_GB2312" w:hAnsi="楷体" w:eastAsia="仿宋_GB2312"/>
          <w:b w:val="0"/>
          <w:spacing w:val="-4"/>
          <w:sz w:val="28"/>
          <w:szCs w:val="28"/>
        </w:rPr>
        <w:t>实有在职人员为</w:t>
      </w:r>
      <w:r>
        <w:rPr>
          <w:rStyle w:val="16"/>
          <w:rFonts w:hint="eastAsia" w:ascii="仿宋_GB2312" w:hAnsi="楷体" w:eastAsia="仿宋_GB2312"/>
          <w:b w:val="0"/>
          <w:spacing w:val="-4"/>
          <w:sz w:val="28"/>
          <w:szCs w:val="28"/>
          <w:lang w:val="en-US" w:eastAsia="zh-CN"/>
        </w:rPr>
        <w:t>106</w:t>
      </w:r>
      <w:r>
        <w:rPr>
          <w:rStyle w:val="16"/>
          <w:rFonts w:hint="eastAsia" w:ascii="仿宋_GB2312" w:hAnsi="楷体" w:eastAsia="仿宋_GB2312"/>
          <w:b w:val="0"/>
          <w:spacing w:val="-4"/>
          <w:sz w:val="28"/>
          <w:szCs w:val="28"/>
        </w:rPr>
        <w:t>人，其中：</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行政在职0人（上年0人），与上年一致；</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事业在职人员</w:t>
      </w:r>
      <w:r>
        <w:rPr>
          <w:rStyle w:val="16"/>
          <w:rFonts w:hint="eastAsia" w:ascii="仿宋_GB2312" w:hAnsi="楷体" w:eastAsia="仿宋_GB2312"/>
          <w:b w:val="0"/>
          <w:spacing w:val="-4"/>
          <w:sz w:val="28"/>
          <w:szCs w:val="28"/>
          <w:lang w:val="en-US" w:eastAsia="zh-CN"/>
        </w:rPr>
        <w:t>106</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106</w:t>
      </w:r>
      <w:r>
        <w:rPr>
          <w:rStyle w:val="16"/>
          <w:rFonts w:hint="eastAsia" w:ascii="仿宋_GB2312" w:hAnsi="楷体" w:eastAsia="仿宋_GB2312"/>
          <w:b w:val="0"/>
          <w:spacing w:val="-4"/>
          <w:sz w:val="28"/>
          <w:szCs w:val="28"/>
        </w:rPr>
        <w:t>人），比上年增加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实有离休人员0人（上年0人）,与上年一致。</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实有退休人员</w:t>
      </w:r>
      <w:r>
        <w:rPr>
          <w:rStyle w:val="16"/>
          <w:rFonts w:hint="eastAsia" w:ascii="仿宋_GB2312" w:hAnsi="楷体" w:eastAsia="仿宋_GB2312"/>
          <w:b w:val="0"/>
          <w:spacing w:val="-4"/>
          <w:sz w:val="28"/>
          <w:szCs w:val="28"/>
          <w:lang w:val="en-US" w:eastAsia="zh-CN"/>
        </w:rPr>
        <w:t>35</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36</w:t>
      </w:r>
      <w:r>
        <w:rPr>
          <w:rStyle w:val="16"/>
          <w:rFonts w:hint="eastAsia" w:ascii="仿宋_GB2312" w:hAnsi="楷体" w:eastAsia="仿宋_GB2312"/>
          <w:b w:val="0"/>
          <w:spacing w:val="-4"/>
          <w:sz w:val="28"/>
          <w:szCs w:val="28"/>
        </w:rPr>
        <w:t>人）,</w:t>
      </w:r>
      <w:r>
        <w:rPr>
          <w:rFonts w:hint="eastAsia" w:ascii="仿宋_GB2312" w:hAnsi="楷体" w:eastAsia="仿宋_GB2312"/>
          <w:b/>
          <w:spacing w:val="-4"/>
          <w:sz w:val="28"/>
          <w:szCs w:val="28"/>
        </w:rPr>
        <w:t xml:space="preserve"> </w:t>
      </w:r>
      <w:r>
        <w:rPr>
          <w:rStyle w:val="16"/>
          <w:rFonts w:hint="eastAsia" w:ascii="仿宋_GB2312" w:hAnsi="楷体" w:eastAsia="仿宋_GB2312"/>
          <w:b w:val="0"/>
          <w:spacing w:val="-4"/>
          <w:sz w:val="28"/>
          <w:szCs w:val="28"/>
        </w:rPr>
        <w:t>同比上年减少</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人</w:t>
      </w:r>
      <w:r>
        <w:rPr>
          <w:rStyle w:val="16"/>
          <w:rFonts w:hint="eastAsia" w:ascii="仿宋_GB2312" w:hAnsi="楷体" w:eastAsia="仿宋_GB2312"/>
          <w:b w:val="0"/>
          <w:spacing w:val="-4"/>
          <w:sz w:val="28"/>
          <w:szCs w:val="28"/>
          <w:lang w:eastAsia="zh-CN"/>
        </w:rPr>
        <w:t>。</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hint="eastAsia" w:ascii="仿宋_GB2312" w:hAnsi="楷体" w:eastAsia="仿宋_GB2312"/>
          <w:b w:val="0"/>
          <w:spacing w:val="-4"/>
          <w:sz w:val="28"/>
          <w:szCs w:val="28"/>
          <w:highlight w:val="none"/>
        </w:rPr>
      </w:pPr>
      <w:bookmarkStart w:id="6" w:name="_Toc70450294"/>
      <w:r>
        <w:rPr>
          <w:rStyle w:val="16"/>
          <w:rFonts w:hint="eastAsia" w:ascii="仿宋_GB2312" w:hAnsi="楷体" w:eastAsia="仿宋_GB2312"/>
          <w:b w:val="0"/>
          <w:spacing w:val="-4"/>
          <w:sz w:val="28"/>
          <w:szCs w:val="28"/>
          <w:highlight w:val="none"/>
        </w:rPr>
        <w:t>（1）确保人员经费的合理分配。</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（2）完成在职教师工资发放、按时完成社保、公积金缴纳。</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（3）及时完成退休教师取暖费、计生奖励金按时发放。</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（4）全面推进各类教师能力提升培训，加强教师队伍建设。完成好教育教学管理工作</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深化教学改革，提高保教质量。</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5</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完成每年教学任务</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推动特色课程改造，</w:t>
      </w:r>
      <w:r>
        <w:rPr>
          <w:rStyle w:val="16"/>
          <w:rFonts w:hint="eastAsia" w:ascii="仿宋_GB2312" w:hAnsi="楷体" w:eastAsia="仿宋_GB2312"/>
          <w:b w:val="0"/>
          <w:spacing w:val="-4"/>
          <w:sz w:val="28"/>
          <w:szCs w:val="28"/>
          <w:highlight w:val="none"/>
          <w:lang w:eastAsia="zh-CN"/>
        </w:rPr>
        <w:t>优化教学质量</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hint="eastAsia" w:ascii="仿宋_GB2312" w:hAnsi="楷体" w:eastAsia="仿宋_GB2312"/>
          <w:b w:val="0"/>
          <w:spacing w:val="-4"/>
          <w:sz w:val="28"/>
          <w:szCs w:val="28"/>
          <w:highlight w:val="none"/>
          <w:lang w:eastAsia="zh-CN"/>
        </w:rPr>
      </w:pP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6</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着力提升办学条件，优化校园环境</w:t>
      </w:r>
      <w:r>
        <w:rPr>
          <w:rStyle w:val="16"/>
          <w:rFonts w:hint="eastAsia" w:ascii="仿宋_GB2312" w:hAnsi="楷体" w:eastAsia="仿宋_GB2312"/>
          <w:b w:val="0"/>
          <w:spacing w:val="-4"/>
          <w:sz w:val="28"/>
          <w:szCs w:val="28"/>
          <w:highlight w:val="none"/>
          <w:lang w:eastAsia="zh-CN"/>
        </w:rPr>
        <w:t>。</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7</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保障幼儿园日常工作平稳有序安全运转。</w:t>
      </w:r>
    </w:p>
    <w:p>
      <w:pPr>
        <w:pStyle w:val="4"/>
        <w:spacing w:line="360" w:lineRule="auto"/>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宋体" w:hAnsi="宋体" w:eastAsia="宋体"/>
          <w:b/>
          <w:bCs/>
          <w:color w:val="FF0000"/>
          <w:spacing w:val="-4"/>
          <w:sz w:val="28"/>
          <w:szCs w:val="28"/>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2021年批复我单位预算为</w:t>
      </w:r>
      <w:r>
        <w:rPr>
          <w:rStyle w:val="16"/>
          <w:rFonts w:hint="eastAsia" w:ascii="仿宋_GB2312" w:hAnsi="楷体" w:eastAsia="仿宋_GB2312"/>
          <w:b w:val="0"/>
          <w:spacing w:val="-4"/>
          <w:sz w:val="28"/>
          <w:szCs w:val="28"/>
          <w:lang w:val="en-US" w:eastAsia="zh-CN"/>
        </w:rPr>
        <w:t>2072.63</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spacing w:val="-4"/>
          <w:sz w:val="28"/>
          <w:szCs w:val="28"/>
          <w:lang w:val="en-US" w:eastAsia="zh-CN"/>
        </w:rPr>
        <w:t>2072.63</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本年中追加资金</w:t>
      </w:r>
      <w:r>
        <w:rPr>
          <w:rStyle w:val="16"/>
          <w:rFonts w:hint="eastAsia" w:ascii="仿宋_GB2312" w:hAnsi="楷体" w:eastAsia="仿宋_GB2312"/>
          <w:b w:val="0"/>
          <w:spacing w:val="-4"/>
          <w:sz w:val="28"/>
          <w:szCs w:val="28"/>
          <w:lang w:val="en-US" w:eastAsia="zh-CN"/>
        </w:rPr>
        <w:t>1049.57</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调整率</w:t>
      </w:r>
      <w:r>
        <w:rPr>
          <w:rStyle w:val="16"/>
          <w:rFonts w:hint="eastAsia" w:ascii="仿宋_GB2312" w:hAnsi="楷体" w:eastAsia="仿宋_GB2312"/>
          <w:b w:val="0"/>
          <w:spacing w:val="-4"/>
          <w:sz w:val="28"/>
          <w:szCs w:val="28"/>
          <w:lang w:val="en-US" w:eastAsia="zh-CN"/>
        </w:rPr>
        <w:t>102.59</w:t>
      </w:r>
      <w:r>
        <w:rPr>
          <w:rStyle w:val="16"/>
          <w:rFonts w:hint="eastAsia" w:ascii="仿宋_GB2312" w:hAnsi="楷体" w:eastAsia="仿宋_GB2312"/>
          <w:b w:val="0"/>
          <w:spacing w:val="-4"/>
          <w:sz w:val="28"/>
          <w:szCs w:val="28"/>
        </w:rPr>
        <w:t>%。对比上年</w:t>
      </w:r>
      <w:r>
        <w:rPr>
          <w:rStyle w:val="16"/>
          <w:rFonts w:hint="eastAsia" w:ascii="仿宋_GB2312" w:hAnsi="楷体" w:eastAsia="仿宋_GB2312"/>
          <w:b w:val="0"/>
          <w:spacing w:val="-4"/>
          <w:sz w:val="28"/>
          <w:szCs w:val="28"/>
          <w:lang w:val="en-US" w:eastAsia="zh-CN"/>
        </w:rPr>
        <w:t>1930.78</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141.85</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7.35</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2072.63</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w:t>
      </w:r>
      <w:r>
        <w:rPr>
          <w:rStyle w:val="16"/>
          <w:rFonts w:hint="eastAsia" w:ascii="仿宋_GB2312" w:hAnsi="楷体" w:eastAsia="仿宋_GB2312"/>
          <w:b w:val="0"/>
          <w:spacing w:val="-4"/>
          <w:sz w:val="28"/>
          <w:szCs w:val="28"/>
          <w:lang w:val="en-US" w:eastAsia="zh-CN"/>
        </w:rPr>
        <w:t>2072.63</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％，主要用于本单位机构正常运转、完成日常工作任务而发生的各项支出。其中：工资福利支出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1827.32</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127.81</w:t>
      </w:r>
      <w:r>
        <w:rPr>
          <w:rStyle w:val="16"/>
          <w:rFonts w:hint="eastAsia" w:ascii="仿宋_GB2312" w:hAnsi="楷体" w:eastAsia="仿宋_GB2312"/>
          <w:b w:val="0"/>
          <w:spacing w:val="-4"/>
          <w:sz w:val="28"/>
          <w:szCs w:val="28"/>
        </w:rPr>
        <w:t>万元，主要用于办公费、印刷费、水电费、办公设备购置等。对个人和家庭的补助</w:t>
      </w:r>
      <w:r>
        <w:rPr>
          <w:rStyle w:val="16"/>
          <w:rFonts w:hint="eastAsia" w:ascii="仿宋_GB2312" w:hAnsi="楷体" w:eastAsia="仿宋_GB2312"/>
          <w:b w:val="0"/>
          <w:spacing w:val="-4"/>
          <w:sz w:val="28"/>
          <w:szCs w:val="28"/>
          <w:lang w:val="en-US" w:eastAsia="zh-CN"/>
        </w:rPr>
        <w:t>117.50</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val="en-US" w:eastAsia="zh-CN"/>
        </w:rPr>
        <w:t>退休职工退休费用及幼儿生活补助</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万元。 </w:t>
      </w:r>
      <w:r>
        <w:rPr>
          <w:rStyle w:val="16"/>
          <w:rFonts w:ascii="仿宋_GB2312" w:hAnsi="楷体" w:eastAsia="仿宋_GB2312"/>
          <w:b w:val="0"/>
          <w:spacing w:val="-4"/>
          <w:sz w:val="28"/>
          <w:szCs w:val="28"/>
        </w:rPr>
        <w:t xml:space="preserve"> </w:t>
      </w:r>
    </w:p>
    <w:p>
      <w:pPr>
        <w:spacing w:line="360" w:lineRule="auto"/>
        <w:ind w:firstLine="544" w:firstLineChars="200"/>
        <w:rPr>
          <w:rStyle w:val="16"/>
          <w:rFonts w:hint="eastAsia" w:ascii="仿宋_GB2312" w:hAnsi="楷体" w:eastAsia="仿宋_GB2312"/>
          <w:b w:val="0"/>
          <w:spacing w:val="-4"/>
          <w:sz w:val="28"/>
          <w:szCs w:val="28"/>
        </w:rPr>
      </w:pPr>
      <w:bookmarkStart w:id="9" w:name="_Toc70450296"/>
      <w:r>
        <w:rPr>
          <w:rStyle w:val="16"/>
          <w:rFonts w:hint="eastAsia" w:ascii="仿宋_GB2312" w:hAnsi="楷体" w:eastAsia="仿宋_GB2312"/>
          <w:b w:val="0"/>
          <w:spacing w:val="-4"/>
          <w:sz w:val="28"/>
          <w:szCs w:val="28"/>
        </w:rPr>
        <w:t>（2）项目支出0万元，占总支出的0%。</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（3）本年度重点项目支出0万元，重点支出保障率0%。</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（4）本年度我单位无政府采购预算。</w:t>
      </w:r>
    </w:p>
    <w:p>
      <w:pPr>
        <w:pStyle w:val="5"/>
        <w:spacing w:line="360" w:lineRule="auto"/>
        <w:rPr>
          <w:rStyle w:val="16"/>
          <w:rFonts w:ascii="仿宋" w:hAnsi="仿宋" w:eastAsia="仿宋"/>
          <w:b/>
          <w:bCs/>
        </w:rPr>
      </w:pPr>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（1）整体支出评价使用方法</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rPr>
        <w:t>本次项目支出绩效自评采用因素分析法方法</w:t>
      </w:r>
      <w:r>
        <w:rPr>
          <w:rStyle w:val="16"/>
          <w:rFonts w:hint="eastAsia" w:ascii="仿宋_GB2312" w:hAnsi="楷体" w:eastAsia="仿宋_GB2312"/>
          <w:b w:val="0"/>
          <w:spacing w:val="-4"/>
          <w:sz w:val="28"/>
          <w:szCs w:val="28"/>
          <w:highlight w:val="none"/>
        </w:rPr>
        <w:t>，原因是：</w:t>
      </w:r>
      <w:r>
        <w:rPr>
          <w:rStyle w:val="16"/>
          <w:rFonts w:hint="eastAsia" w:ascii="仿宋_GB2312" w:hAnsi="楷体" w:eastAsia="仿宋_GB2312"/>
          <w:b w:val="0"/>
          <w:spacing w:val="-4"/>
          <w:sz w:val="28"/>
          <w:szCs w:val="28"/>
          <w:highlight w:val="none"/>
          <w:lang w:eastAsia="zh-CN"/>
        </w:rPr>
        <w:t>特克斯县幼儿园</w:t>
      </w:r>
      <w:r>
        <w:rPr>
          <w:rStyle w:val="16"/>
          <w:rFonts w:hint="eastAsia" w:ascii="仿宋_GB2312" w:hAnsi="楷体" w:eastAsia="仿宋_GB2312"/>
          <w:b w:val="0"/>
          <w:spacing w:val="-4"/>
          <w:sz w:val="28"/>
          <w:szCs w:val="28"/>
          <w:highlight w:val="none"/>
        </w:rPr>
        <w:t>从数量上确定各因素对分析指标影响方向和影响程度一种方法，运用因素分析法应注意因素关联性、顺序性。</w:t>
      </w:r>
    </w:p>
    <w:p>
      <w:pPr>
        <w:spacing w:line="360" w:lineRule="auto"/>
        <w:ind w:firstLine="544" w:firstLineChars="200"/>
        <w:rPr>
          <w:rStyle w:val="16"/>
          <w:rFonts w:hint="eastAsia" w:ascii="仿宋_GB2312" w:hAnsi="楷体" w:eastAsia="仿宋_GB2312"/>
          <w:b w:val="0"/>
          <w:spacing w:val="-4"/>
          <w:sz w:val="28"/>
          <w:szCs w:val="28"/>
        </w:rPr>
      </w:pPr>
      <w:bookmarkStart w:id="33" w:name="_GoBack"/>
      <w:bookmarkEnd w:id="33"/>
      <w:r>
        <w:rPr>
          <w:rStyle w:val="16"/>
          <w:rFonts w:hint="eastAsia" w:ascii="仿宋_GB2312" w:hAnsi="楷体" w:eastAsia="仿宋_GB2312"/>
          <w:b w:val="0"/>
          <w:spacing w:val="-4"/>
          <w:sz w:val="28"/>
          <w:szCs w:val="28"/>
        </w:rPr>
        <w:t>（2）整体支出评价主要内容</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绩效目标的设定情况。重点评价绩效目标设立的充分性、明确性、合理性以及细化程度。</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资金投入和使用情况。重点评价资金分配过程、投入方式、资金到位、预算执行和结果。</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3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③</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为实现绩效目标制定的制度、采取的措施等。包括项目管理制度、财务管理制度、资产管理制度和绩效跟踪管理措施等。</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4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④</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val="en-US" w:eastAsia="zh-CN"/>
        </w:rPr>
        <w:t>特克斯县幼儿园</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2072.63</w:t>
      </w:r>
      <w:r>
        <w:rPr>
          <w:rStyle w:val="16"/>
          <w:rFonts w:hint="eastAsia" w:ascii="仿宋_GB2312" w:hAnsi="楷体" w:eastAsia="仿宋_GB2312"/>
          <w:b w:val="0"/>
          <w:spacing w:val="-4"/>
          <w:sz w:val="28"/>
          <w:szCs w:val="28"/>
        </w:rPr>
        <w:t>万元，其中：工资福利支出、商品和服务支出、对个人和家庭的补助支出。</w:t>
      </w:r>
    </w:p>
    <w:p>
      <w:pPr>
        <w:spacing w:line="360" w:lineRule="auto"/>
        <w:ind w:firstLine="544" w:firstLineChars="200"/>
        <w:rPr>
          <w:rStyle w:val="16"/>
          <w:rFonts w:hint="eastAsia" w:ascii="仿宋_GB2312" w:hAnsi="楷体" w:eastAsia="仿宋_GB2312"/>
          <w:b w:val="0"/>
          <w:spacing w:val="-4"/>
          <w:sz w:val="28"/>
          <w:szCs w:val="28"/>
        </w:rPr>
      </w:pPr>
      <w:bookmarkStart w:id="10" w:name="_Toc70450297"/>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asciiTheme="minorEastAsia" w:hAnsiTheme="minorEastAsia"/>
          <w:color w:val="FF0000"/>
          <w:spacing w:val="-4"/>
          <w:sz w:val="28"/>
          <w:szCs w:val="28"/>
        </w:rPr>
      </w:pPr>
      <w:r>
        <w:rPr>
          <w:rFonts w:hint="eastAsia" w:ascii="仿宋_GB2312" w:eastAsia="仿宋_GB2312"/>
          <w:sz w:val="28"/>
          <w:szCs w:val="36"/>
        </w:rPr>
        <w:t>我单位严格按照财政部门预算编制与预算调整的工作要求，在预算编制、分配依据充分的条件下，切实做好“先定目标再编预算”，确保预算分配结果合理。同时按照</w:t>
      </w:r>
      <w:r>
        <w:rPr>
          <w:rStyle w:val="16"/>
          <w:rFonts w:hint="eastAsia" w:ascii="仿宋_GB2312" w:hAnsi="楷体" w:eastAsia="仿宋_GB2312"/>
          <w:b w:val="0"/>
          <w:spacing w:val="-4"/>
          <w:sz w:val="28"/>
          <w:szCs w:val="28"/>
        </w:rPr>
        <w:t>按照特克斯县</w:t>
      </w:r>
      <w:r>
        <w:rPr>
          <w:rStyle w:val="16"/>
          <w:rFonts w:hint="eastAsia" w:ascii="仿宋_GB2312" w:hAnsi="楷体" w:eastAsia="仿宋_GB2312"/>
          <w:b w:val="0"/>
          <w:spacing w:val="-4"/>
          <w:sz w:val="28"/>
          <w:szCs w:val="28"/>
          <w:lang w:val="en-US" w:eastAsia="zh-CN"/>
        </w:rPr>
        <w:t>财政局</w:t>
      </w:r>
      <w:r>
        <w:rPr>
          <w:rFonts w:hint="eastAsia" w:ascii="仿宋_GB2312" w:eastAsia="仿宋_GB2312"/>
          <w:sz w:val="28"/>
          <w:szCs w:val="36"/>
        </w:rPr>
        <w:t>要求，部门预算及绩效目标在</w:t>
      </w:r>
      <w:r>
        <w:rPr>
          <w:rStyle w:val="16"/>
          <w:rFonts w:hint="eastAsia" w:ascii="仿宋_GB2312" w:hAnsi="楷体" w:eastAsia="仿宋_GB2312"/>
          <w:b w:val="0"/>
          <w:spacing w:val="-4"/>
          <w:sz w:val="28"/>
          <w:szCs w:val="28"/>
        </w:rPr>
        <w:t>特克斯县人民政府政务网站公开</w:t>
      </w:r>
      <w:r>
        <w:rPr>
          <w:rFonts w:hint="eastAsia" w:ascii="仿宋_GB2312" w:eastAsia="仿宋_GB2312"/>
          <w:sz w:val="28"/>
          <w:szCs w:val="36"/>
        </w:rPr>
        <w:t>，</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sz w:val="28"/>
          <w:szCs w:val="36"/>
        </w:rPr>
        <w:t>我单位按照财政要求基本支出分月度申报资金使用计划，由财政部门按照进度每月按期拨付，人员支出按照工资计划发放工资；依照</w:t>
      </w: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val="en-US" w:eastAsia="zh-CN"/>
        </w:rPr>
        <w:t>幼儿园</w:t>
      </w:r>
      <w:r>
        <w:rPr>
          <w:rStyle w:val="16"/>
          <w:rFonts w:hint="eastAsia" w:ascii="仿宋_GB2312" w:hAnsi="楷体" w:eastAsia="仿宋_GB2312"/>
          <w:b w:val="0"/>
          <w:spacing w:val="-4"/>
          <w:sz w:val="28"/>
          <w:szCs w:val="28"/>
        </w:rPr>
        <w:t>《财务管理制度》相关规定和特克斯</w:t>
      </w:r>
      <w:r>
        <w:rPr>
          <w:rStyle w:val="16"/>
          <w:rFonts w:hint="eastAsia" w:ascii="仿宋_GB2312" w:hAnsi="楷体" w:eastAsia="仿宋_GB2312"/>
          <w:b w:val="0"/>
          <w:spacing w:val="-4"/>
          <w:sz w:val="28"/>
          <w:szCs w:val="28"/>
          <w:lang w:val="en-US" w:eastAsia="zh-CN"/>
        </w:rPr>
        <w:t>县幼儿园</w:t>
      </w:r>
      <w:r>
        <w:rPr>
          <w:rStyle w:val="16"/>
          <w:rFonts w:hint="eastAsia" w:ascii="仿宋_GB2312" w:hAnsi="楷体" w:eastAsia="仿宋_GB2312"/>
          <w:b w:val="0"/>
          <w:spacing w:val="-4"/>
          <w:sz w:val="28"/>
          <w:szCs w:val="28"/>
        </w:rPr>
        <w:t>《财务管理制度》规定流程</w:t>
      </w:r>
      <w:r>
        <w:rPr>
          <w:rFonts w:hint="eastAsia" w:ascii="仿宋_GB2312" w:eastAsia="仿宋_GB2312"/>
          <w:sz w:val="28"/>
          <w:szCs w:val="36"/>
        </w:rPr>
        <w:t>，资金支出按照我内控体系中设定的流程申报审批进行；项目支出属于政府采购的，按照局</w:t>
      </w: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val="en-US" w:eastAsia="zh-CN"/>
        </w:rPr>
        <w:t>幼儿园</w:t>
      </w:r>
      <w:r>
        <w:rPr>
          <w:rStyle w:val="16"/>
          <w:rFonts w:hint="eastAsia" w:ascii="仿宋_GB2312" w:hAnsi="楷体" w:eastAsia="仿宋_GB2312"/>
          <w:b w:val="0"/>
          <w:spacing w:val="-4"/>
          <w:sz w:val="28"/>
          <w:szCs w:val="28"/>
        </w:rPr>
        <w:t>《政府采购与招标管理办法》</w:t>
      </w:r>
      <w:r>
        <w:rPr>
          <w:rFonts w:hint="eastAsia" w:ascii="仿宋_GB2312" w:eastAsia="仿宋_GB2312"/>
          <w:sz w:val="28"/>
          <w:szCs w:val="36"/>
        </w:rPr>
        <w:t>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ind w:firstLine="544" w:firstLineChars="200"/>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2072.63</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2072.63</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2072.63</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％，其中：工资福利支出</w:t>
      </w:r>
      <w:r>
        <w:rPr>
          <w:rStyle w:val="16"/>
          <w:rFonts w:hint="eastAsia" w:ascii="仿宋_GB2312" w:hAnsi="楷体" w:eastAsia="仿宋_GB2312"/>
          <w:b w:val="0"/>
          <w:spacing w:val="-4"/>
          <w:sz w:val="28"/>
          <w:szCs w:val="28"/>
          <w:lang w:val="en-US" w:eastAsia="zh-CN"/>
        </w:rPr>
        <w:t>1827.32</w:t>
      </w:r>
      <w:r>
        <w:rPr>
          <w:rStyle w:val="16"/>
          <w:rFonts w:hint="eastAsia" w:ascii="仿宋_GB2312" w:hAnsi="楷体" w:eastAsia="仿宋_GB2312"/>
          <w:b w:val="0"/>
          <w:spacing w:val="-4"/>
          <w:sz w:val="28"/>
          <w:szCs w:val="28"/>
        </w:rPr>
        <w:t>万元、商品和服务支出</w:t>
      </w:r>
      <w:r>
        <w:rPr>
          <w:rStyle w:val="16"/>
          <w:rFonts w:hint="eastAsia" w:ascii="仿宋_GB2312" w:hAnsi="楷体" w:eastAsia="仿宋_GB2312"/>
          <w:b w:val="0"/>
          <w:spacing w:val="-4"/>
          <w:sz w:val="28"/>
          <w:szCs w:val="28"/>
          <w:lang w:val="en-US" w:eastAsia="zh-CN"/>
        </w:rPr>
        <w:t>127.81</w:t>
      </w:r>
      <w:r>
        <w:rPr>
          <w:rStyle w:val="16"/>
          <w:rFonts w:hint="eastAsia" w:ascii="仿宋_GB2312" w:hAnsi="楷体" w:eastAsia="仿宋_GB2312"/>
          <w:b w:val="0"/>
          <w:spacing w:val="-4"/>
          <w:sz w:val="28"/>
          <w:szCs w:val="28"/>
        </w:rPr>
        <w:t>万元、对个人和家庭的补助</w:t>
      </w:r>
      <w:r>
        <w:rPr>
          <w:rStyle w:val="16"/>
          <w:rFonts w:hint="eastAsia" w:ascii="仿宋_GB2312" w:hAnsi="楷体" w:eastAsia="仿宋_GB2312"/>
          <w:b w:val="0"/>
          <w:spacing w:val="-4"/>
          <w:sz w:val="28"/>
          <w:szCs w:val="28"/>
          <w:lang w:val="en-US" w:eastAsia="zh-CN"/>
        </w:rPr>
        <w:t>117.50</w:t>
      </w:r>
      <w:r>
        <w:rPr>
          <w:rStyle w:val="16"/>
          <w:rFonts w:hint="eastAsia" w:ascii="仿宋_GB2312" w:hAnsi="楷体" w:eastAsia="仿宋_GB2312"/>
          <w:b w:val="0"/>
          <w:spacing w:val="-4"/>
          <w:sz w:val="28"/>
          <w:szCs w:val="28"/>
        </w:rPr>
        <w:t>万元、工资福利支出主要用于在职和离退休人员基本工资、津贴补贴等人员经费</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商品和服务支</w:t>
      </w:r>
      <w:r>
        <w:rPr>
          <w:rStyle w:val="16"/>
          <w:rFonts w:hint="eastAsia" w:ascii="仿宋_GB2312" w:hAnsi="楷体" w:eastAsia="仿宋_GB2312"/>
          <w:b w:val="0"/>
          <w:spacing w:val="-4"/>
          <w:sz w:val="28"/>
          <w:szCs w:val="28"/>
          <w:lang w:val="en-US" w:eastAsia="zh-CN"/>
        </w:rPr>
        <w:t>主要</w:t>
      </w:r>
      <w:r>
        <w:rPr>
          <w:rStyle w:val="16"/>
          <w:rFonts w:hint="eastAsia" w:ascii="仿宋_GB2312" w:hAnsi="楷体" w:eastAsia="仿宋_GB2312"/>
          <w:b w:val="0"/>
          <w:spacing w:val="-4"/>
          <w:sz w:val="28"/>
          <w:szCs w:val="28"/>
        </w:rPr>
        <w:t>用于办公费、印刷费、水电费、办公设备购置等。对个人和家庭的补助</w:t>
      </w:r>
      <w:r>
        <w:rPr>
          <w:rStyle w:val="16"/>
          <w:rFonts w:hint="eastAsia" w:ascii="仿宋_GB2312" w:hAnsi="楷体" w:eastAsia="仿宋_GB2312"/>
          <w:b w:val="0"/>
          <w:spacing w:val="-4"/>
          <w:sz w:val="28"/>
          <w:szCs w:val="28"/>
          <w:lang w:val="en-US" w:eastAsia="zh-CN"/>
        </w:rPr>
        <w:t>主要用</w:t>
      </w:r>
      <w:r>
        <w:rPr>
          <w:rStyle w:val="16"/>
          <w:rFonts w:hint="eastAsia" w:ascii="仿宋_GB2312" w:hAnsi="楷体" w:eastAsia="仿宋_GB2312"/>
          <w:b w:val="0"/>
          <w:spacing w:val="-4"/>
          <w:sz w:val="28"/>
          <w:szCs w:val="28"/>
        </w:rPr>
        <w:t>于</w:t>
      </w:r>
      <w:r>
        <w:rPr>
          <w:rStyle w:val="16"/>
          <w:rFonts w:hint="eastAsia" w:ascii="仿宋_GB2312" w:hAnsi="楷体" w:eastAsia="仿宋_GB2312"/>
          <w:b w:val="0"/>
          <w:spacing w:val="-4"/>
          <w:sz w:val="28"/>
          <w:szCs w:val="28"/>
          <w:lang w:val="en-US" w:eastAsia="zh-CN"/>
        </w:rPr>
        <w:t>退休职工退休费用及幼儿生活补助</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b w:val="0"/>
          <w:spacing w:val="-4"/>
          <w:sz w:val="28"/>
          <w:szCs w:val="28"/>
          <w:lang w:val="en-US" w:eastAsia="zh-CN"/>
        </w:rPr>
        <w:t>1930.78</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141.85</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7.35</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，支出上升的主要原因是</w:t>
      </w:r>
      <w:r>
        <w:rPr>
          <w:rStyle w:val="16"/>
          <w:rFonts w:hint="eastAsia" w:ascii="仿宋_GB2312" w:hAnsi="楷体" w:eastAsia="仿宋_GB2312"/>
          <w:b w:val="0"/>
          <w:spacing w:val="-4"/>
          <w:sz w:val="28"/>
          <w:szCs w:val="28"/>
          <w:lang w:eastAsia="zh-CN"/>
        </w:rPr>
        <w:t>人员调整，特岗入编，</w:t>
      </w:r>
      <w:r>
        <w:rPr>
          <w:rStyle w:val="16"/>
          <w:rFonts w:hint="eastAsia" w:ascii="仿宋_GB2312" w:hAnsi="楷体" w:eastAsia="仿宋_GB2312"/>
          <w:b w:val="0"/>
          <w:spacing w:val="-4"/>
          <w:sz w:val="28"/>
          <w:szCs w:val="28"/>
        </w:rPr>
        <w:t>人数增加，兑现了部分人员职称工资</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2021年3月绩效调标</w:t>
      </w:r>
      <w:r>
        <w:rPr>
          <w:rStyle w:val="16"/>
          <w:rFonts w:hint="eastAsia" w:ascii="仿宋_GB2312" w:hAnsi="楷体" w:eastAsia="仿宋_GB2312"/>
          <w:b w:val="0"/>
          <w:spacing w:val="-4"/>
          <w:sz w:val="28"/>
          <w:szCs w:val="28"/>
          <w:lang w:eastAsia="zh-CN"/>
        </w:rPr>
        <w:t>，发放</w:t>
      </w:r>
      <w:r>
        <w:rPr>
          <w:rStyle w:val="16"/>
          <w:rFonts w:hint="eastAsia" w:ascii="仿宋_GB2312" w:hAnsi="楷体" w:eastAsia="仿宋_GB2312"/>
          <w:b w:val="0"/>
          <w:spacing w:val="-4"/>
          <w:sz w:val="28"/>
          <w:szCs w:val="28"/>
          <w:lang w:val="en-US" w:eastAsia="zh-CN"/>
        </w:rPr>
        <w:t>2018年.2020年绩效奖金及2020年综合治理奖。</w:t>
      </w:r>
    </w:p>
    <w:p>
      <w:pPr>
        <w:spacing w:line="360" w:lineRule="auto"/>
        <w:ind w:firstLine="544" w:firstLineChars="200"/>
        <w:rPr>
          <w:rStyle w:val="16"/>
          <w:rFonts w:hint="eastAsia" w:ascii="仿宋_GB2312" w:hAnsi="楷体" w:eastAsia="仿宋_GB2312"/>
          <w:b w:val="0"/>
          <w:spacing w:val="-4"/>
          <w:sz w:val="28"/>
          <w:szCs w:val="28"/>
        </w:rPr>
      </w:pPr>
      <w:bookmarkStart w:id="15" w:name="_Toc70450302"/>
      <w:r>
        <w:rPr>
          <w:rStyle w:val="16"/>
          <w:rFonts w:hint="eastAsia" w:ascii="仿宋_GB2312" w:hAnsi="楷体" w:eastAsia="仿宋_GB2312"/>
          <w:b w:val="0"/>
          <w:spacing w:val="-4"/>
          <w:sz w:val="28"/>
          <w:szCs w:val="28"/>
        </w:rPr>
        <w:t>2021年一般公共预算“三公”经费数为0万元，其中：因公出国（境）费0万元，公务用车购置0万元，公务用车运行费0万元，公务接待费0万元。</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比上年增加0万元，其中：因公出国（境）费增加0万元，主要原因是：2021年我单位未安排三公经费预算；公务用车购置费为0，2021年我单位未安排预算。公务用车运行费增加0万元，主要原因是：2021年我单位未安排预算；公务接待费增加0万元，主要原因是：2021年我单位未安排预算。</w:t>
      </w:r>
    </w:p>
    <w:p>
      <w:pPr>
        <w:pStyle w:val="4"/>
        <w:spacing w:line="360" w:lineRule="auto"/>
        <w:rPr>
          <w:rStyle w:val="16"/>
          <w:rFonts w:ascii="仿宋" w:hAnsi="仿宋" w:eastAsia="仿宋"/>
          <w:b/>
          <w:bCs/>
        </w:rPr>
      </w:pPr>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544" w:firstLineChars="200"/>
        <w:rPr>
          <w:rStyle w:val="16"/>
          <w:rFonts w:hint="eastAsia" w:ascii="仿宋_GB2312" w:hAnsi="楷体" w:eastAsia="仿宋_GB2312"/>
          <w:b w:val="0"/>
          <w:spacing w:val="-4"/>
          <w:sz w:val="28"/>
          <w:szCs w:val="28"/>
        </w:rPr>
      </w:pPr>
      <w:bookmarkStart w:id="17" w:name="_Toc70450304"/>
      <w:r>
        <w:rPr>
          <w:rStyle w:val="16"/>
          <w:rFonts w:hint="eastAsia" w:ascii="仿宋_GB2312" w:hAnsi="楷体" w:eastAsia="仿宋_GB2312"/>
          <w:b w:val="0"/>
          <w:spacing w:val="-4"/>
          <w:sz w:val="28"/>
          <w:szCs w:val="28"/>
        </w:rPr>
        <w:t>2021年预算安排专项资金 0万元，实际到位0万元, 到位率0％,其中:中央转移支付项目资金0万元，自治区资金0万元，本级安排0万元。</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2、专项资金实际使用情况</w:t>
      </w:r>
      <w:bookmarkEnd w:id="17"/>
    </w:p>
    <w:p>
      <w:pPr>
        <w:spacing w:line="360" w:lineRule="auto"/>
        <w:ind w:firstLine="544" w:firstLineChars="200"/>
        <w:rPr>
          <w:rStyle w:val="16"/>
          <w:rFonts w:hint="eastAsia" w:ascii="仿宋_GB2312" w:hAnsi="楷体" w:eastAsia="仿宋_GB2312"/>
          <w:b w:val="0"/>
          <w:spacing w:val="-4"/>
          <w:sz w:val="28"/>
          <w:szCs w:val="28"/>
        </w:rPr>
      </w:pPr>
      <w:bookmarkStart w:id="18" w:name="_Toc70450305"/>
      <w:r>
        <w:rPr>
          <w:rStyle w:val="16"/>
          <w:rFonts w:hint="eastAsia" w:ascii="仿宋_GB2312" w:hAnsi="楷体" w:eastAsia="仿宋_GB2312"/>
          <w:b w:val="0"/>
          <w:spacing w:val="-4"/>
          <w:sz w:val="28"/>
          <w:szCs w:val="28"/>
        </w:rPr>
        <w:t>2021年专项资金支出0万元，占总支出的0%，其中2021年专项项目支出比上年0万元增加0万元，上升0 %。主要原因是：2021年我单位未安排资金支出。</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3、专项资金管理情况</w:t>
      </w:r>
      <w:bookmarkEnd w:id="18"/>
    </w:p>
    <w:p>
      <w:pPr>
        <w:spacing w:line="360" w:lineRule="auto"/>
        <w:ind w:firstLine="544" w:firstLineChars="200"/>
        <w:rPr>
          <w:rStyle w:val="16"/>
          <w:rFonts w:hint="eastAsia" w:ascii="仿宋_GB2312" w:hAnsi="楷体" w:eastAsia="仿宋_GB2312"/>
          <w:b w:val="0"/>
          <w:spacing w:val="-4"/>
          <w:sz w:val="28"/>
          <w:szCs w:val="28"/>
        </w:rPr>
      </w:pPr>
      <w:bookmarkStart w:id="19" w:name="_Toc70450306"/>
      <w:r>
        <w:rPr>
          <w:rStyle w:val="16"/>
          <w:rFonts w:hint="eastAsia" w:ascii="仿宋_GB2312" w:hAnsi="楷体" w:eastAsia="仿宋_GB2312"/>
          <w:b w:val="0"/>
          <w:spacing w:val="-4"/>
          <w:sz w:val="28"/>
          <w:szCs w:val="28"/>
        </w:rPr>
        <w:t>为规范专项资金使用，提高专项资金使用效益，我单位主要采取四项措施。</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（1）制定了特克斯县</w:t>
      </w:r>
      <w:r>
        <w:rPr>
          <w:rStyle w:val="16"/>
          <w:rFonts w:hint="eastAsia" w:ascii="仿宋_GB2312" w:hAnsi="楷体" w:eastAsia="仿宋_GB2312"/>
          <w:b w:val="0"/>
          <w:spacing w:val="-4"/>
          <w:sz w:val="28"/>
          <w:szCs w:val="28"/>
          <w:lang w:eastAsia="zh-CN"/>
        </w:rPr>
        <w:t>幼儿园</w:t>
      </w:r>
      <w:r>
        <w:rPr>
          <w:rStyle w:val="16"/>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（2）建立特克斯县</w:t>
      </w:r>
      <w:r>
        <w:rPr>
          <w:rStyle w:val="16"/>
          <w:rFonts w:hint="eastAsia" w:ascii="仿宋_GB2312" w:hAnsi="楷体" w:eastAsia="仿宋_GB2312"/>
          <w:b w:val="0"/>
          <w:spacing w:val="-4"/>
          <w:sz w:val="28"/>
          <w:szCs w:val="28"/>
          <w:lang w:eastAsia="zh-CN"/>
        </w:rPr>
        <w:t>幼儿园</w:t>
      </w:r>
      <w:r>
        <w:rPr>
          <w:rStyle w:val="16"/>
          <w:rFonts w:hint="eastAsia" w:ascii="仿宋_GB2312" w:hAnsi="楷体" w:eastAsia="仿宋_GB2312"/>
          <w:b w:val="0"/>
          <w:spacing w:val="-4"/>
          <w:sz w:val="28"/>
          <w:szCs w:val="28"/>
        </w:rPr>
        <w:t>专项资金专帐，做到有据可依，有据可查。</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（3）制订了特克斯县</w:t>
      </w:r>
      <w:r>
        <w:rPr>
          <w:rStyle w:val="16"/>
          <w:rFonts w:hint="eastAsia" w:ascii="仿宋_GB2312" w:hAnsi="楷体" w:eastAsia="仿宋_GB2312"/>
          <w:b w:val="0"/>
          <w:spacing w:val="-4"/>
          <w:sz w:val="28"/>
          <w:szCs w:val="28"/>
          <w:lang w:eastAsia="zh-CN"/>
        </w:rPr>
        <w:t>幼儿园</w:t>
      </w:r>
      <w:r>
        <w:rPr>
          <w:rStyle w:val="16"/>
          <w:rFonts w:hint="eastAsia" w:ascii="仿宋_GB2312" w:hAnsi="楷体" w:eastAsia="仿宋_GB2312"/>
          <w:b w:val="0"/>
          <w:spacing w:val="-4"/>
          <w:sz w:val="28"/>
          <w:szCs w:val="28"/>
        </w:rPr>
        <w:t>项目实施方案，确保项目顺利进行。</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（4）认真组织特克斯县</w:t>
      </w:r>
      <w:r>
        <w:rPr>
          <w:rStyle w:val="16"/>
          <w:rFonts w:hint="eastAsia" w:ascii="仿宋_GB2312" w:hAnsi="楷体" w:eastAsia="仿宋_GB2312"/>
          <w:b w:val="0"/>
          <w:spacing w:val="-4"/>
          <w:sz w:val="28"/>
          <w:szCs w:val="28"/>
          <w:lang w:eastAsia="zh-CN"/>
        </w:rPr>
        <w:t>幼儿园</w:t>
      </w:r>
      <w:r>
        <w:rPr>
          <w:rStyle w:val="16"/>
          <w:rFonts w:hint="eastAsia" w:ascii="仿宋_GB2312" w:hAnsi="楷体" w:eastAsia="仿宋_GB2312"/>
          <w:b w:val="0"/>
          <w:spacing w:val="-4"/>
          <w:sz w:val="28"/>
          <w:szCs w:val="28"/>
        </w:rPr>
        <w:t>项目验收，确保项目顺利进行。</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专项资金涉及政府采购项目的，按照局《呼吉尔特蒙古民族乡托斯曼小学采购与招标管理办法》组织人员制定采购计划，按照财政局采购部门批复，进行公开招标、邀请招标等方式进行。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三、部门单位专项组织实施情况</w:t>
      </w:r>
      <w:bookmarkEnd w:id="19"/>
    </w:p>
    <w:p>
      <w:pPr>
        <w:spacing w:line="360" w:lineRule="auto"/>
        <w:ind w:firstLine="492" w:firstLineChars="181"/>
        <w:rPr>
          <w:rFonts w:hint="eastAsia"/>
        </w:rPr>
      </w:pPr>
      <w:bookmarkStart w:id="20" w:name="_Toc70450308"/>
      <w:r>
        <w:rPr>
          <w:rStyle w:val="16"/>
          <w:rFonts w:hint="eastAsia" w:ascii="仿宋_GB2312" w:hAnsi="楷体" w:eastAsia="仿宋_GB2312"/>
          <w:b w:val="0"/>
          <w:spacing w:val="-4"/>
          <w:sz w:val="28"/>
          <w:szCs w:val="28"/>
        </w:rPr>
        <w:t>2021年我单位未安排项目支出预算</w:t>
      </w:r>
      <w:r>
        <w:rPr>
          <w:rStyle w:val="16"/>
          <w:rFonts w:hint="eastAsia" w:ascii="仿宋_GB2312" w:hAnsi="楷体" w:eastAsia="仿宋_GB2312"/>
          <w:b w:val="0"/>
          <w:spacing w:val="-4"/>
          <w:sz w:val="28"/>
          <w:szCs w:val="28"/>
          <w:lang w:eastAsia="zh-CN"/>
        </w:rPr>
        <w:t>。</w:t>
      </w:r>
      <w:bookmarkEnd w:id="20"/>
    </w:p>
    <w:p>
      <w:pPr>
        <w:pStyle w:val="3"/>
        <w:spacing w:line="360" w:lineRule="auto"/>
        <w:rPr>
          <w:rFonts w:ascii="仿宋" w:hAnsi="仿宋" w:eastAsia="仿宋"/>
          <w:sz w:val="36"/>
          <w:szCs w:val="36"/>
          <w:lang w:bidi="ar"/>
        </w:rPr>
      </w:pPr>
      <w:bookmarkStart w:id="21" w:name="_Toc70450310"/>
      <w:r>
        <w:rPr>
          <w:rFonts w:hint="eastAsia" w:ascii="仿宋" w:hAnsi="仿宋" w:eastAsia="仿宋"/>
          <w:sz w:val="36"/>
          <w:szCs w:val="36"/>
          <w:lang w:bidi="ar"/>
        </w:rPr>
        <w:t>四、资产管理情况</w:t>
      </w:r>
      <w:bookmarkEnd w:id="21"/>
    </w:p>
    <w:p>
      <w:pPr>
        <w:pStyle w:val="4"/>
        <w:spacing w:line="360" w:lineRule="auto"/>
        <w:rPr>
          <w:rStyle w:val="16"/>
          <w:rFonts w:ascii="仿宋" w:hAnsi="仿宋" w:eastAsia="仿宋"/>
          <w:b/>
          <w:bCs/>
        </w:rPr>
      </w:pPr>
      <w:bookmarkStart w:id="22" w:name="_Toc70450311"/>
      <w:r>
        <w:rPr>
          <w:rStyle w:val="16"/>
          <w:rFonts w:hint="eastAsia" w:ascii="仿宋" w:hAnsi="仿宋" w:eastAsia="仿宋"/>
          <w:b/>
          <w:bCs/>
        </w:rPr>
        <w:t>（一）资产配置情况</w:t>
      </w:r>
      <w:bookmarkEnd w:id="22"/>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年我单位资产总额</w:t>
      </w:r>
      <w:r>
        <w:rPr>
          <w:rStyle w:val="16"/>
          <w:rFonts w:hint="eastAsia" w:ascii="仿宋_GB2312" w:hAnsi="宋体" w:eastAsia="仿宋_GB2312"/>
          <w:b w:val="0"/>
          <w:bCs w:val="0"/>
          <w:spacing w:val="-4"/>
          <w:sz w:val="28"/>
          <w:szCs w:val="28"/>
          <w:lang w:val="en-US" w:eastAsia="zh-CN"/>
        </w:rPr>
        <w:t>133.00</w:t>
      </w:r>
      <w:r>
        <w:rPr>
          <w:rStyle w:val="16"/>
          <w:rFonts w:hint="eastAsia" w:ascii="仿宋_GB2312" w:hAnsi="宋体" w:eastAsia="仿宋_GB2312"/>
          <w:b w:val="0"/>
          <w:bCs w:val="0"/>
          <w:spacing w:val="-4"/>
          <w:sz w:val="28"/>
          <w:szCs w:val="28"/>
        </w:rPr>
        <w:t>万元，其中流动资产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万元，固定资产净值</w:t>
      </w:r>
      <w:r>
        <w:rPr>
          <w:rStyle w:val="16"/>
          <w:rFonts w:hint="eastAsia" w:ascii="仿宋_GB2312" w:hAnsi="宋体" w:eastAsia="仿宋_GB2312"/>
          <w:b w:val="0"/>
          <w:bCs w:val="0"/>
          <w:spacing w:val="-4"/>
          <w:sz w:val="28"/>
          <w:szCs w:val="28"/>
          <w:lang w:val="en-US" w:eastAsia="zh-CN"/>
        </w:rPr>
        <w:t>17.75</w:t>
      </w:r>
      <w:r>
        <w:rPr>
          <w:rStyle w:val="16"/>
          <w:rFonts w:hint="eastAsia" w:ascii="仿宋_GB2312" w:hAnsi="宋体" w:eastAsia="仿宋_GB2312"/>
          <w:b w:val="0"/>
          <w:bCs w:val="0"/>
          <w:spacing w:val="-4"/>
          <w:sz w:val="28"/>
          <w:szCs w:val="28"/>
        </w:rPr>
        <w:t>万元（其中：土地、房屋及构筑物</w:t>
      </w:r>
      <w:r>
        <w:rPr>
          <w:rStyle w:val="16"/>
          <w:rFonts w:hint="eastAsia" w:ascii="仿宋_GB2312" w:hAnsi="宋体" w:eastAsia="仿宋_GB2312"/>
          <w:b w:val="0"/>
          <w:bCs w:val="0"/>
          <w:spacing w:val="-4"/>
          <w:sz w:val="28"/>
          <w:szCs w:val="28"/>
          <w:lang w:val="en-US" w:eastAsia="zh-CN"/>
        </w:rPr>
        <w:t>22.33</w:t>
      </w:r>
      <w:r>
        <w:rPr>
          <w:rStyle w:val="16"/>
          <w:rFonts w:hint="eastAsia" w:ascii="仿宋_GB2312" w:hAnsi="宋体" w:eastAsia="仿宋_GB2312"/>
          <w:b w:val="0"/>
          <w:bCs w:val="0"/>
          <w:spacing w:val="-4"/>
          <w:sz w:val="28"/>
          <w:szCs w:val="28"/>
        </w:rPr>
        <w:t>万元，占固定资产净值的</w:t>
      </w:r>
      <w:r>
        <w:rPr>
          <w:rStyle w:val="16"/>
          <w:rFonts w:ascii="仿宋_GB2312" w:hAnsi="宋体" w:eastAsia="仿宋_GB2312"/>
          <w:b w:val="0"/>
          <w:bCs w:val="0"/>
          <w:spacing w:val="-4"/>
          <w:sz w:val="28"/>
          <w:szCs w:val="28"/>
        </w:rPr>
        <w:t>16.78</w:t>
      </w:r>
      <w:r>
        <w:rPr>
          <w:rStyle w:val="16"/>
          <w:rFonts w:hint="eastAsia" w:ascii="仿宋_GB2312" w:hAnsi="宋体" w:eastAsia="仿宋_GB2312"/>
          <w:b w:val="0"/>
          <w:bCs w:val="0"/>
          <w:spacing w:val="-4"/>
          <w:sz w:val="28"/>
          <w:szCs w:val="28"/>
        </w:rPr>
        <w:t>%；通用设</w:t>
      </w:r>
      <w:r>
        <w:rPr>
          <w:rStyle w:val="16"/>
          <w:rFonts w:hint="default" w:ascii="仿宋_GB2312" w:hAnsi="宋体" w:eastAsia="仿宋_GB2312"/>
          <w:b w:val="0"/>
          <w:bCs w:val="0"/>
          <w:spacing w:val="-4"/>
          <w:sz w:val="28"/>
          <w:szCs w:val="28"/>
        </w:rPr>
        <w:t>32.39</w:t>
      </w:r>
      <w:r>
        <w:rPr>
          <w:rStyle w:val="16"/>
          <w:rFonts w:hint="eastAsia" w:ascii="仿宋_GB2312" w:hAnsi="宋体" w:eastAsia="仿宋_GB2312"/>
          <w:b w:val="0"/>
          <w:bCs w:val="0"/>
          <w:spacing w:val="-4"/>
          <w:sz w:val="28"/>
          <w:szCs w:val="28"/>
        </w:rPr>
        <w:t>万元，占固定资产净值的</w:t>
      </w:r>
      <w:r>
        <w:rPr>
          <w:rStyle w:val="16"/>
          <w:rFonts w:ascii="仿宋_GB2312" w:hAnsi="宋体" w:eastAsia="仿宋_GB2312"/>
          <w:b w:val="0"/>
          <w:bCs w:val="0"/>
          <w:spacing w:val="-4"/>
          <w:sz w:val="28"/>
          <w:szCs w:val="28"/>
        </w:rPr>
        <w:t>24.35</w:t>
      </w:r>
      <w:r>
        <w:rPr>
          <w:rStyle w:val="16"/>
          <w:rFonts w:hint="eastAsia" w:ascii="仿宋_GB2312" w:hAnsi="宋体" w:eastAsia="仿宋_GB2312"/>
          <w:b w:val="0"/>
          <w:bCs w:val="0"/>
          <w:spacing w:val="-4"/>
          <w:sz w:val="28"/>
          <w:szCs w:val="28"/>
        </w:rPr>
        <w:t>%；专用设备</w:t>
      </w:r>
      <w:r>
        <w:rPr>
          <w:rStyle w:val="16"/>
          <w:rFonts w:ascii="仿宋_GB2312" w:hAnsi="宋体" w:eastAsia="仿宋_GB2312"/>
          <w:b w:val="0"/>
          <w:bCs w:val="0"/>
          <w:spacing w:val="-4"/>
          <w:sz w:val="28"/>
          <w:szCs w:val="28"/>
        </w:rPr>
        <w:t>12.89</w:t>
      </w:r>
      <w:r>
        <w:rPr>
          <w:rStyle w:val="16"/>
          <w:rFonts w:hint="eastAsia" w:ascii="仿宋_GB2312" w:hAnsi="宋体" w:eastAsia="仿宋_GB2312"/>
          <w:b w:val="0"/>
          <w:bCs w:val="0"/>
          <w:spacing w:val="-4"/>
          <w:sz w:val="28"/>
          <w:szCs w:val="28"/>
        </w:rPr>
        <w:t>万元，占固定资产净值的</w:t>
      </w:r>
      <w:r>
        <w:rPr>
          <w:rStyle w:val="16"/>
          <w:rFonts w:ascii="仿宋_GB2312" w:hAnsi="宋体" w:eastAsia="仿宋_GB2312"/>
          <w:b w:val="0"/>
          <w:bCs w:val="0"/>
          <w:spacing w:val="-4"/>
          <w:sz w:val="28"/>
          <w:szCs w:val="28"/>
        </w:rPr>
        <w:t>9.69</w:t>
      </w:r>
      <w:r>
        <w:rPr>
          <w:rStyle w:val="16"/>
          <w:rFonts w:hint="eastAsia" w:ascii="仿宋_GB2312" w:hAnsi="宋体" w:eastAsia="仿宋_GB2312"/>
          <w:b w:val="0"/>
          <w:bCs w:val="0"/>
          <w:spacing w:val="-4"/>
          <w:sz w:val="28"/>
          <w:szCs w:val="28"/>
        </w:rPr>
        <w:t>%；其他）。</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本年度流动资产0万元，比上年增加0万元，原因是：2021年度我单位无流动资产  。</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ascii="仿宋_GB2312" w:hAnsi="宋体" w:eastAsia="仿宋_GB2312"/>
          <w:b w:val="0"/>
          <w:bCs w:val="0"/>
          <w:spacing w:val="-4"/>
          <w:sz w:val="28"/>
          <w:szCs w:val="28"/>
        </w:rPr>
        <w:t>133.00</w:t>
      </w:r>
      <w:r>
        <w:rPr>
          <w:rStyle w:val="16"/>
          <w:rFonts w:hint="eastAsia" w:ascii="仿宋_GB2312" w:hAnsi="宋体" w:eastAsia="仿宋_GB2312"/>
          <w:b w:val="0"/>
          <w:bCs w:val="0"/>
          <w:spacing w:val="-4"/>
          <w:sz w:val="28"/>
          <w:szCs w:val="28"/>
        </w:rPr>
        <w:t>万元，比上年增加</w:t>
      </w:r>
      <w:r>
        <w:rPr>
          <w:rStyle w:val="16"/>
          <w:rFonts w:hint="default" w:ascii="仿宋_GB2312" w:hAnsi="宋体" w:eastAsia="仿宋_GB2312"/>
          <w:b w:val="0"/>
          <w:bCs w:val="0"/>
          <w:spacing w:val="-4"/>
          <w:sz w:val="28"/>
          <w:szCs w:val="28"/>
        </w:rPr>
        <w:t>11.91</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通用设备增加</w:t>
      </w:r>
      <w:r>
        <w:rPr>
          <w:rStyle w:val="16"/>
          <w:rFonts w:hint="eastAsia" w:ascii="仿宋_GB2312" w:hAnsi="宋体" w:eastAsia="仿宋_GB2312"/>
          <w:b w:val="0"/>
          <w:bCs w:val="0"/>
          <w:spacing w:val="-4"/>
          <w:sz w:val="28"/>
          <w:szCs w:val="28"/>
        </w:rPr>
        <w:t>。</w:t>
      </w:r>
    </w:p>
    <w:p>
      <w:pPr>
        <w:snapToGrid w:val="0"/>
        <w:spacing w:line="360" w:lineRule="auto"/>
        <w:ind w:firstLine="544" w:firstLineChars="200"/>
        <w:rPr>
          <w:rStyle w:val="16"/>
          <w:rFonts w:hint="eastAsia" w:ascii="宋体" w:hAnsi="宋体" w:eastAsia="仿宋_GB2312"/>
          <w:bCs w:val="0"/>
          <w:color w:val="FF0000"/>
          <w:spacing w:val="-4"/>
          <w:sz w:val="28"/>
          <w:szCs w:val="28"/>
          <w:lang w:eastAsia="zh-CN"/>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133.00</w:t>
      </w:r>
      <w:r>
        <w:rPr>
          <w:rStyle w:val="16"/>
          <w:rFonts w:hint="eastAsia" w:ascii="仿宋_GB2312" w:hAnsi="宋体" w:eastAsia="仿宋_GB2312"/>
          <w:b w:val="0"/>
          <w:bCs w:val="0"/>
          <w:spacing w:val="-4"/>
          <w:sz w:val="28"/>
          <w:szCs w:val="28"/>
        </w:rPr>
        <w:t>万元，固定资产利用率</w:t>
      </w:r>
      <w:r>
        <w:rPr>
          <w:rStyle w:val="16"/>
          <w:rFonts w:ascii="仿宋_GB2312" w:hAnsi="宋体" w:eastAsia="仿宋_GB2312"/>
          <w:b w:val="0"/>
          <w:bCs w:val="0"/>
          <w:spacing w:val="-4"/>
          <w:sz w:val="28"/>
          <w:szCs w:val="28"/>
        </w:rPr>
        <w:t>100</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eastAsia="zh-CN"/>
        </w:rPr>
        <w:t>。</w:t>
      </w:r>
    </w:p>
    <w:p>
      <w:pPr>
        <w:pStyle w:val="4"/>
        <w:spacing w:line="360" w:lineRule="auto"/>
        <w:rPr>
          <w:rStyle w:val="16"/>
          <w:rFonts w:ascii="仿宋" w:hAnsi="仿宋" w:eastAsia="仿宋"/>
          <w:b/>
          <w:bCs/>
        </w:rPr>
      </w:pPr>
      <w:bookmarkStart w:id="23" w:name="_Toc70450312"/>
      <w:r>
        <w:rPr>
          <w:rStyle w:val="16"/>
          <w:rFonts w:hint="eastAsia" w:ascii="仿宋" w:hAnsi="仿宋" w:eastAsia="仿宋"/>
          <w:b/>
          <w:bCs/>
        </w:rPr>
        <w:t>（二）资产管理情况</w:t>
      </w:r>
      <w:bookmarkEnd w:id="23"/>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楷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4" w:name="_Toc70450313"/>
      <w:r>
        <w:rPr>
          <w:rFonts w:hint="eastAsia" w:ascii="仿宋" w:hAnsi="仿宋" w:eastAsia="仿宋"/>
          <w:sz w:val="36"/>
          <w:szCs w:val="36"/>
          <w:lang w:bidi="ar"/>
        </w:rPr>
        <w:t>五、部门单位整体支出绩效情况</w:t>
      </w:r>
      <w:bookmarkEnd w:id="24"/>
    </w:p>
    <w:p>
      <w:pPr>
        <w:pStyle w:val="4"/>
        <w:spacing w:line="360" w:lineRule="auto"/>
        <w:ind w:firstLine="643" w:firstLineChars="200"/>
        <w:rPr>
          <w:rStyle w:val="16"/>
          <w:rFonts w:ascii="仿宋" w:hAnsi="仿宋" w:eastAsia="仿宋"/>
          <w:b/>
          <w:bCs/>
        </w:rPr>
      </w:pPr>
      <w:bookmarkStart w:id="25" w:name="_Toc70450314"/>
      <w:r>
        <w:rPr>
          <w:rStyle w:val="16"/>
          <w:rFonts w:hint="eastAsia" w:ascii="仿宋" w:hAnsi="仿宋" w:eastAsia="仿宋"/>
          <w:b/>
          <w:bCs/>
        </w:rPr>
        <w:t>（一）经济效益评价</w:t>
      </w:r>
      <w:bookmarkEnd w:id="25"/>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w:t>
      </w:r>
      <w:r>
        <w:rPr>
          <w:rStyle w:val="16"/>
          <w:rFonts w:hint="eastAsia" w:ascii="仿宋_GB2312" w:hAnsi="宋体" w:eastAsia="仿宋_GB2312"/>
          <w:b w:val="0"/>
          <w:bCs w:val="0"/>
          <w:spacing w:val="-4"/>
          <w:sz w:val="28"/>
          <w:szCs w:val="28"/>
          <w:lang w:val="en-US" w:eastAsia="zh-CN"/>
        </w:rPr>
        <w:t>21</w:t>
      </w:r>
      <w:r>
        <w:rPr>
          <w:rStyle w:val="16"/>
          <w:rFonts w:hint="eastAsia" w:ascii="仿宋_GB2312" w:hAnsi="宋体" w:eastAsia="仿宋_GB2312"/>
          <w:b w:val="0"/>
          <w:bCs w:val="0"/>
          <w:spacing w:val="-4"/>
          <w:sz w:val="28"/>
          <w:szCs w:val="28"/>
        </w:rPr>
        <w:t>年度我单位年初预算安排</w:t>
      </w:r>
      <w:r>
        <w:rPr>
          <w:rStyle w:val="16"/>
          <w:rFonts w:ascii="仿宋_GB2312" w:hAnsi="宋体" w:eastAsia="仿宋_GB2312"/>
          <w:b w:val="0"/>
          <w:bCs w:val="0"/>
          <w:spacing w:val="-4"/>
          <w:sz w:val="28"/>
          <w:szCs w:val="28"/>
        </w:rPr>
        <w:t>1023.06</w:t>
      </w:r>
      <w:r>
        <w:rPr>
          <w:rStyle w:val="16"/>
          <w:rFonts w:hint="eastAsia" w:ascii="仿宋_GB2312" w:hAnsi="宋体" w:eastAsia="仿宋_GB2312"/>
          <w:b w:val="0"/>
          <w:bCs w:val="0"/>
          <w:spacing w:val="-4"/>
          <w:sz w:val="28"/>
          <w:szCs w:val="28"/>
        </w:rPr>
        <w:t>万元，年中调整</w:t>
      </w:r>
      <w:r>
        <w:rPr>
          <w:rStyle w:val="16"/>
          <w:rFonts w:hint="default" w:ascii="仿宋_GB2312" w:hAnsi="宋体" w:eastAsia="仿宋_GB2312"/>
          <w:b w:val="0"/>
          <w:bCs w:val="0"/>
          <w:spacing w:val="-4"/>
          <w:sz w:val="28"/>
          <w:szCs w:val="28"/>
        </w:rPr>
        <w:t>1049.57</w:t>
      </w:r>
      <w:r>
        <w:rPr>
          <w:rStyle w:val="16"/>
          <w:rFonts w:hint="eastAsia" w:ascii="仿宋_GB2312" w:hAnsi="宋体" w:eastAsia="仿宋_GB2312"/>
          <w:b w:val="0"/>
          <w:bCs w:val="0"/>
          <w:spacing w:val="-4"/>
          <w:sz w:val="28"/>
          <w:szCs w:val="28"/>
        </w:rPr>
        <w:t>万元，截止12月底支出</w:t>
      </w:r>
      <w:r>
        <w:rPr>
          <w:rStyle w:val="16"/>
          <w:rFonts w:ascii="仿宋_GB2312" w:hAnsi="宋体" w:eastAsia="仿宋_GB2312"/>
          <w:b w:val="0"/>
          <w:bCs w:val="0"/>
          <w:spacing w:val="-4"/>
          <w:sz w:val="28"/>
          <w:szCs w:val="28"/>
        </w:rPr>
        <w:t>2072.63</w:t>
      </w:r>
      <w:r>
        <w:rPr>
          <w:rStyle w:val="16"/>
          <w:rFonts w:hint="eastAsia" w:ascii="仿宋_GB2312" w:hAnsi="宋体" w:eastAsia="仿宋_GB2312"/>
          <w:b w:val="0"/>
          <w:bCs w:val="0"/>
          <w:spacing w:val="-4"/>
          <w:sz w:val="28"/>
          <w:szCs w:val="28"/>
        </w:rPr>
        <w:t>万元，执行率</w:t>
      </w:r>
      <w:r>
        <w:rPr>
          <w:rStyle w:val="16"/>
          <w:rFonts w:ascii="仿宋_GB2312" w:hAnsi="宋体" w:eastAsia="仿宋_GB2312"/>
          <w:b w:val="0"/>
          <w:bCs w:val="0"/>
          <w:spacing w:val="-4"/>
          <w:sz w:val="28"/>
          <w:szCs w:val="28"/>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6" w:name="_Toc70450315"/>
      <w:r>
        <w:rPr>
          <w:rStyle w:val="16"/>
          <w:rFonts w:hint="eastAsia" w:ascii="仿宋" w:hAnsi="仿宋" w:eastAsia="仿宋"/>
          <w:b/>
          <w:bCs/>
        </w:rPr>
        <w:t>（二）效率性评价</w:t>
      </w:r>
      <w:bookmarkEnd w:id="26"/>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楷体" w:eastAsia="仿宋_GB2312"/>
          <w:b w:val="0"/>
          <w:spacing w:val="-4"/>
          <w:sz w:val="28"/>
          <w:szCs w:val="28"/>
        </w:rPr>
        <w:t>2021年，在特克斯县人民政府的大力支持和教育局党委的正确领导下，特克斯县</w:t>
      </w:r>
      <w:r>
        <w:rPr>
          <w:rStyle w:val="16"/>
          <w:rFonts w:hint="default" w:ascii="仿宋_GB2312" w:hAnsi="楷体" w:eastAsia="仿宋_GB2312"/>
          <w:b w:val="0"/>
          <w:spacing w:val="-4"/>
          <w:sz w:val="28"/>
          <w:szCs w:val="28"/>
        </w:rPr>
        <w:t>幼儿园</w:t>
      </w:r>
      <w:r>
        <w:rPr>
          <w:rStyle w:val="16"/>
          <w:rFonts w:hint="eastAsia" w:ascii="仿宋_GB2312" w:hAnsi="宋体" w:eastAsia="仿宋_GB2312"/>
          <w:b w:val="0"/>
          <w:bCs w:val="0"/>
          <w:spacing w:val="-4"/>
          <w:sz w:val="28"/>
          <w:szCs w:val="28"/>
        </w:rPr>
        <w:t>迎难而上、务实重干，积极推动各项</w:t>
      </w:r>
      <w:r>
        <w:rPr>
          <w:rStyle w:val="16"/>
          <w:rFonts w:hint="default" w:ascii="仿宋_GB2312" w:hAnsi="宋体" w:eastAsia="仿宋_GB2312"/>
          <w:b w:val="0"/>
          <w:bCs w:val="0"/>
          <w:spacing w:val="-4"/>
          <w:sz w:val="28"/>
          <w:szCs w:val="28"/>
        </w:rPr>
        <w:t>教育</w:t>
      </w:r>
      <w:r>
        <w:rPr>
          <w:rStyle w:val="16"/>
          <w:rFonts w:hint="eastAsia" w:ascii="仿宋_GB2312" w:hAnsi="宋体" w:eastAsia="仿宋_GB2312"/>
          <w:b w:val="0"/>
          <w:bCs w:val="0"/>
          <w:spacing w:val="-4"/>
          <w:sz w:val="28"/>
          <w:szCs w:val="28"/>
        </w:rPr>
        <w:t>工作取得了新的进展，为促进经济持续健康发展与社会和谐稳定提供了有力的</w:t>
      </w:r>
      <w:r>
        <w:rPr>
          <w:rStyle w:val="16"/>
          <w:rFonts w:hint="default" w:ascii="仿宋_GB2312" w:hAnsi="宋体" w:eastAsia="仿宋_GB2312"/>
          <w:b w:val="0"/>
          <w:bCs w:val="0"/>
          <w:spacing w:val="-4"/>
          <w:sz w:val="28"/>
          <w:szCs w:val="28"/>
        </w:rPr>
        <w:t>教育</w:t>
      </w:r>
      <w:r>
        <w:rPr>
          <w:rStyle w:val="16"/>
          <w:rFonts w:hint="eastAsia" w:ascii="仿宋_GB2312" w:hAnsi="宋体" w:eastAsia="仿宋_GB2312"/>
          <w:b w:val="0"/>
          <w:bCs w:val="0"/>
          <w:spacing w:val="-4"/>
          <w:sz w:val="28"/>
          <w:szCs w:val="28"/>
        </w:rPr>
        <w:t>支撑和保障。</w:t>
      </w:r>
    </w:p>
    <w:p>
      <w:pPr>
        <w:spacing w:line="360" w:lineRule="auto"/>
        <w:ind w:firstLine="544" w:firstLineChars="200"/>
        <w:rPr>
          <w:rStyle w:val="16"/>
          <w:rFonts w:hint="eastAsia" w:ascii="仿宋_GB2312" w:hAnsi="宋体" w:eastAsia="仿宋_GB2312"/>
          <w:b w:val="0"/>
          <w:bCs w:val="0"/>
          <w:spacing w:val="-4"/>
          <w:sz w:val="28"/>
          <w:szCs w:val="28"/>
        </w:rPr>
      </w:pPr>
      <w:bookmarkStart w:id="27" w:name="_Toc70450316"/>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圆满完成教学任务工作</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根据国家教育方针，严格按照上级主管部门教育教学规定，根据学校自己情况制定教育教学计划，年末圆满完成教育教学任务。</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2.</w:t>
      </w:r>
      <w:r>
        <w:rPr>
          <w:rStyle w:val="16"/>
          <w:rFonts w:hint="eastAsia" w:ascii="仿宋_GB2312" w:hAnsi="宋体" w:eastAsia="仿宋_GB2312"/>
          <w:b w:val="0"/>
          <w:bCs w:val="0"/>
          <w:spacing w:val="-4"/>
          <w:sz w:val="28"/>
          <w:szCs w:val="28"/>
        </w:rPr>
        <w:t>教育教学任务提前完成</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根据本单位教育教学任务，随时做好调整教育教学准备，加强课程实施监测和日常教学监督管理，进一步规范教学管理，提前完成本学期教学任务。</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3.</w:t>
      </w:r>
      <w:r>
        <w:rPr>
          <w:rStyle w:val="16"/>
          <w:rFonts w:hint="eastAsia" w:ascii="仿宋_GB2312" w:hAnsi="宋体" w:eastAsia="仿宋_GB2312"/>
          <w:b w:val="0"/>
          <w:bCs w:val="0"/>
          <w:spacing w:val="-4"/>
          <w:sz w:val="28"/>
          <w:szCs w:val="28"/>
        </w:rPr>
        <w:t>教师满意度和家长满意度成效显著</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教师满意度：学校在评优树先的方面方案科学合理，体现公平公正的原则，能充分调动每一位教职工的积极性。学校建立科学的考核机制，管理到位。</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家长满意度：家长认为学校学风教风好，教师师德好。教师能够爱岗敬业，忠于党的教育事业，关心关爱学生。</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4.</w:t>
      </w:r>
      <w:r>
        <w:rPr>
          <w:rStyle w:val="16"/>
          <w:rFonts w:hint="eastAsia" w:ascii="仿宋_GB2312" w:hAnsi="宋体" w:eastAsia="仿宋_GB2312"/>
          <w:b w:val="0"/>
          <w:bCs w:val="0"/>
          <w:spacing w:val="-4"/>
          <w:sz w:val="28"/>
          <w:szCs w:val="28"/>
        </w:rPr>
        <w:t>教育教学全面达标，群众满意度高。</w:t>
      </w:r>
    </w:p>
    <w:p>
      <w:pPr>
        <w:pStyle w:val="4"/>
        <w:spacing w:line="360" w:lineRule="auto"/>
        <w:ind w:firstLine="643" w:firstLineChars="200"/>
        <w:rPr>
          <w:rStyle w:val="16"/>
          <w:rFonts w:ascii="仿宋" w:hAnsi="仿宋" w:eastAsia="仿宋"/>
          <w:b/>
          <w:bCs/>
        </w:rPr>
      </w:pPr>
      <w:r>
        <w:rPr>
          <w:rStyle w:val="16"/>
          <w:rFonts w:hint="eastAsia" w:ascii="仿宋" w:hAnsi="仿宋" w:eastAsia="仿宋"/>
          <w:b/>
          <w:bCs/>
        </w:rPr>
        <w:t>（三）有效性评价</w:t>
      </w:r>
      <w:bookmarkEnd w:id="27"/>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w:t>
      </w:r>
      <w:r>
        <w:rPr>
          <w:rStyle w:val="16"/>
          <w:rFonts w:hint="default" w:ascii="仿宋_GB2312" w:hAnsi="楷体" w:eastAsia="仿宋_GB2312"/>
          <w:b w:val="0"/>
          <w:spacing w:val="-4"/>
          <w:sz w:val="28"/>
          <w:szCs w:val="28"/>
        </w:rPr>
        <w:t>幼儿园</w:t>
      </w:r>
      <w:r>
        <w:rPr>
          <w:rStyle w:val="16"/>
          <w:rFonts w:hint="eastAsia" w:ascii="仿宋_GB2312" w:hAnsi="楷体" w:eastAsia="仿宋_GB2312"/>
          <w:b w:val="0"/>
          <w:spacing w:val="-4"/>
          <w:sz w:val="28"/>
          <w:szCs w:val="28"/>
        </w:rPr>
        <w:t>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w:t>
      </w:r>
      <w:r>
        <w:rPr>
          <w:rStyle w:val="16"/>
          <w:rFonts w:hint="default" w:ascii="仿宋_GB2312" w:hAnsi="楷体" w:eastAsia="仿宋_GB2312"/>
          <w:b w:val="0"/>
          <w:spacing w:val="-4"/>
          <w:sz w:val="28"/>
          <w:szCs w:val="28"/>
        </w:rPr>
        <w:t>幼儿园</w:t>
      </w:r>
      <w:r>
        <w:rPr>
          <w:rStyle w:val="16"/>
          <w:rFonts w:hint="eastAsia" w:ascii="仿宋_GB2312" w:hAnsi="楷体" w:eastAsia="仿宋_GB2312"/>
          <w:b w:val="0"/>
          <w:spacing w:val="-4"/>
          <w:sz w:val="28"/>
          <w:szCs w:val="28"/>
        </w:rPr>
        <w:t>绩效目标共设置一级指标3个，二级指标6个，三级指标</w:t>
      </w:r>
      <w:r>
        <w:rPr>
          <w:rStyle w:val="16"/>
          <w:rFonts w:hint="eastAsia" w:ascii="仿宋_GB2312" w:hAnsi="楷体" w:eastAsia="仿宋_GB2312"/>
          <w:b w:val="0"/>
          <w:spacing w:val="-4"/>
          <w:sz w:val="28"/>
          <w:szCs w:val="28"/>
          <w:lang w:val="en-US" w:eastAsia="zh-CN"/>
        </w:rPr>
        <w:t>12</w:t>
      </w:r>
      <w:r>
        <w:rPr>
          <w:rStyle w:val="16"/>
          <w:rFonts w:hint="eastAsia" w:ascii="仿宋_GB2312" w:hAnsi="楷体" w:eastAsia="仿宋_GB2312"/>
          <w:b w:val="0"/>
          <w:spacing w:val="-4"/>
          <w:sz w:val="28"/>
          <w:szCs w:val="28"/>
        </w:rPr>
        <w:t>个，详细说明如下</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1、数量指标：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指标1：保障在职人员人数，指标值：=106人，实际完成值：106人，指标完成率100%；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指标2：退休人员数，指标值：=35人，实际完成值：35人，指标完成率100%；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2、质量指标：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指标1：工资及公用经费保障率，指标值：=100%，实际完成值：100%，指标完成率100%；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3、时效指标：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指标1：教学任务及时完成率，=100%，实际完成值：100%，指标完成率100%；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指标2：资金发放及时性，=100%，实际完成值：100%，指标完成率100%；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4、成本指标：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指标1：在职人员工资、社保、住房，指标值：≤9.6036万元/人/年，实际完成值：9.6036万元/人/年，指标完成率100%；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指标2：退休人员计生奖励，指标值：≤0.1311万元/人/年，实际完成值：0.1311万元/人/年，指标完成率100%；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指标3：取暖费，指标值：≤0.13万元/人/年，实际完成值：0.13万元/人/年，指标完成率100%；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5、社会效益指标：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指标1：保证教学任务及时完成，指标值：有效保证 ，实际完成值：有效保证，指标完成率100%；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指标2：保证教师队伍稳定，指标值：有效保证，实际完成值：有效保证，指标完成率100%；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6、满意度指标：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指标1：教师满意度，指标值：≥95%，实际完成值：95%，指标完成率100%；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指标2：退休教师满意度，指标值：≥95%，实际完成值：95%，指标完成率100%。</w:t>
      </w:r>
    </w:p>
    <w:p>
      <w:pPr>
        <w:pStyle w:val="3"/>
        <w:numPr>
          <w:ilvl w:val="0"/>
          <w:numId w:val="1"/>
        </w:numPr>
        <w:spacing w:line="360" w:lineRule="auto"/>
        <w:rPr>
          <w:rFonts w:hint="eastAsia" w:ascii="仿宋" w:hAnsi="仿宋" w:eastAsia="仿宋"/>
          <w:sz w:val="36"/>
          <w:szCs w:val="36"/>
          <w:lang w:bidi="ar"/>
        </w:rPr>
      </w:pPr>
      <w:bookmarkStart w:id="28" w:name="_Toc70450317"/>
      <w:r>
        <w:rPr>
          <w:rFonts w:hint="eastAsia" w:ascii="仿宋" w:hAnsi="仿宋" w:eastAsia="仿宋"/>
          <w:sz w:val="36"/>
          <w:szCs w:val="36"/>
          <w:lang w:bidi="ar"/>
        </w:rPr>
        <w:t>存在的主要问题</w:t>
      </w:r>
      <w:bookmarkEnd w:id="28"/>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1、预算绩效管理观念淡薄，缺乏主动性。</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2、预算绩效管理的组织架构不够完善，缺乏统筹性。</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3、绩效型预算编制脱离实际，缺乏前瞻性。</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4、绩效型预算评价方法比较单一、简单，大都还是采用目标分析法、成本效益分析法等，主观因素判断占比较大，尚未主动尝试采用层次分析法等先进方法。</w:t>
      </w:r>
    </w:p>
    <w:p>
      <w:pPr>
        <w:spacing w:line="360" w:lineRule="auto"/>
        <w:ind w:firstLine="544" w:firstLineChars="200"/>
        <w:rPr>
          <w:lang w:bidi="ar"/>
        </w:rPr>
      </w:pPr>
      <w:r>
        <w:rPr>
          <w:rStyle w:val="16"/>
          <w:rFonts w:hint="eastAsia" w:ascii="仿宋_GB2312" w:hAnsi="楷体" w:eastAsia="仿宋_GB2312"/>
          <w:b w:val="0"/>
          <w:spacing w:val="-4"/>
          <w:sz w:val="28"/>
          <w:szCs w:val="28"/>
          <w:lang w:val="en-US" w:eastAsia="zh-CN"/>
        </w:rPr>
        <w:t>5、</w:t>
      </w:r>
      <w:r>
        <w:rPr>
          <w:rStyle w:val="16"/>
          <w:rFonts w:hint="eastAsia" w:ascii="仿宋_GB2312" w:hAnsi="楷体" w:eastAsia="仿宋_GB2312"/>
          <w:b w:val="0"/>
          <w:spacing w:val="-4"/>
          <w:sz w:val="28"/>
          <w:szCs w:val="28"/>
        </w:rPr>
        <w:t>固定资产管理水平有待提高</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固定资产台账未及时与账面资产金额对账且末与实物进行清点及及时清理处置报废资产导致资产台账与账面资产金额存在差异,固定资产管理继续加强中。</w:t>
      </w:r>
    </w:p>
    <w:p>
      <w:pPr>
        <w:pStyle w:val="3"/>
        <w:spacing w:line="360" w:lineRule="auto"/>
        <w:rPr>
          <w:lang w:bidi="ar"/>
        </w:rPr>
      </w:pPr>
      <w:bookmarkStart w:id="29" w:name="_Toc70450318"/>
      <w:r>
        <w:rPr>
          <w:rFonts w:hint="eastAsia" w:ascii="仿宋" w:hAnsi="仿宋" w:eastAsia="仿宋"/>
          <w:sz w:val="36"/>
          <w:szCs w:val="36"/>
          <w:lang w:bidi="ar"/>
        </w:rPr>
        <w:t>七、改进措施和建议</w:t>
      </w:r>
      <w:bookmarkEnd w:id="29"/>
    </w:p>
    <w:p>
      <w:pPr>
        <w:pStyle w:val="4"/>
        <w:numPr>
          <w:ilvl w:val="0"/>
          <w:numId w:val="2"/>
        </w:numPr>
        <w:spacing w:line="360" w:lineRule="auto"/>
        <w:rPr>
          <w:rStyle w:val="16"/>
          <w:rFonts w:hint="eastAsia" w:ascii="仿宋" w:hAnsi="仿宋" w:eastAsia="仿宋"/>
          <w:b/>
          <w:bCs/>
        </w:rPr>
      </w:pPr>
      <w:bookmarkStart w:id="30" w:name="_Toc70450319"/>
      <w:r>
        <w:rPr>
          <w:rStyle w:val="16"/>
          <w:rFonts w:hint="eastAsia" w:ascii="仿宋" w:hAnsi="仿宋" w:eastAsia="仿宋"/>
          <w:b/>
          <w:bCs/>
        </w:rPr>
        <w:t>改进措施</w:t>
      </w:r>
      <w:bookmarkEnd w:id="30"/>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1、加大宣传力度，强化预算绩效意识。</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2、建立内部控制与预算绩效为核心的工作理念，紧密结合各部门的职能，明确各项分工。</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3、建立以解决问题为导向、指向未来的预算绩效管理模式。</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完善管理制度,进-步加强资产管理。严格按照《固定资产管理办法》的规定，加强固定资产管理,及时登记、更新台账，加强资产卡片管理,对各类实物资产进行全面盘点,确保账账、账实相符。</w:t>
      </w:r>
    </w:p>
    <w:p>
      <w:pPr>
        <w:pStyle w:val="4"/>
        <w:spacing w:line="360" w:lineRule="auto"/>
        <w:rPr>
          <w:rStyle w:val="16"/>
          <w:rFonts w:ascii="仿宋" w:hAnsi="仿宋" w:eastAsia="仿宋"/>
          <w:b/>
          <w:bCs/>
        </w:rPr>
      </w:pPr>
      <w:r>
        <w:rPr>
          <w:rStyle w:val="16"/>
          <w:rFonts w:hint="eastAsia" w:ascii="仿宋" w:hAnsi="仿宋" w:eastAsia="仿宋"/>
          <w:b/>
          <w:bCs/>
        </w:rPr>
        <w:t>（二）建议</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）加强学习。进一步明确如何参照考核体系，科学合理设定绩效目标，充分发挥预算绩效管理工作效用。</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2</w:t>
      </w:r>
      <w:r>
        <w:rPr>
          <w:rStyle w:val="16"/>
          <w:rFonts w:hint="eastAsia" w:ascii="仿宋_GB2312" w:hAnsi="楷体" w:eastAsia="仿宋_GB2312"/>
          <w:b w:val="0"/>
          <w:spacing w:val="-4"/>
          <w:sz w:val="28"/>
          <w:szCs w:val="28"/>
        </w:rPr>
        <w:t>）财务上，会计核算要更加详细，为本单位各项工作的开展、总结、评估提供有效数据资料支撑,为各项业务工作更好的开展提供帮助。</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）从源头上强化对专项资金预算管理。实行专项资金预算管理，结合单位实际,按轻重缓急统筹安排编制预算,提高预算编制科学性和合理性,优化资金结构。</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）按时间进度分解资金使用计划。专项资金的使用，要事前做计划，事中进行控制，事后总结提高。合理安排资金使用,充分体现资金投向的目标和效益。</w:t>
      </w:r>
    </w:p>
    <w:p>
      <w:pPr>
        <w:spacing w:line="360" w:lineRule="auto"/>
        <w:ind w:firstLine="544" w:firstLineChars="200"/>
        <w:rPr>
          <w:rStyle w:val="16"/>
          <w:rFonts w:hint="eastAsia" w:ascii="仿宋" w:hAnsi="仿宋" w:eastAsia="仿宋_GB2312"/>
          <w:b/>
          <w:bCs/>
          <w:lang w:eastAsia="zh-CN"/>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5</w:t>
      </w:r>
      <w:r>
        <w:rPr>
          <w:rStyle w:val="16"/>
          <w:rFonts w:hint="eastAsia" w:ascii="仿宋_GB2312" w:hAnsi="楷体" w:eastAsia="仿宋_GB2312"/>
          <w:b w:val="0"/>
          <w:spacing w:val="-4"/>
          <w:sz w:val="28"/>
          <w:szCs w:val="28"/>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r>
        <w:rPr>
          <w:rStyle w:val="16"/>
          <w:rFonts w:hint="eastAsia" w:ascii="仿宋_GB2312" w:hAnsi="楷体" w:eastAsia="仿宋_GB2312"/>
          <w:b w:val="0"/>
          <w:spacing w:val="-4"/>
          <w:sz w:val="28"/>
          <w:szCs w:val="28"/>
          <w:lang w:eastAsia="zh-CN"/>
        </w:rPr>
        <w:t>。</w:t>
      </w:r>
    </w:p>
    <w:p>
      <w:pPr>
        <w:spacing w:line="360" w:lineRule="auto"/>
      </w:pPr>
    </w:p>
    <w:p>
      <w:pPr>
        <w:pStyle w:val="3"/>
        <w:spacing w:line="360" w:lineRule="auto"/>
        <w:rPr>
          <w:rStyle w:val="16"/>
          <w:rFonts w:ascii="仿宋" w:hAnsi="仿宋" w:eastAsia="仿宋"/>
          <w:b/>
          <w:bCs/>
          <w:sz w:val="36"/>
          <w:szCs w:val="36"/>
        </w:rPr>
      </w:pPr>
      <w:bookmarkStart w:id="31"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p>
      <w:r>
        <w:br w:type="page"/>
      </w:r>
    </w:p>
    <w:tbl>
      <w:tblPr>
        <w:tblStyle w:val="14"/>
        <w:tblW w:w="8987" w:type="dxa"/>
        <w:tblInd w:w="93" w:type="dxa"/>
        <w:tblLayout w:type="fixed"/>
        <w:tblCellMar>
          <w:top w:w="0" w:type="dxa"/>
          <w:left w:w="108" w:type="dxa"/>
          <w:bottom w:w="0" w:type="dxa"/>
          <w:right w:w="108" w:type="dxa"/>
        </w:tblCellMar>
      </w:tblPr>
      <w:tblGrid>
        <w:gridCol w:w="368"/>
        <w:gridCol w:w="947"/>
        <w:gridCol w:w="2040"/>
        <w:gridCol w:w="934"/>
        <w:gridCol w:w="934"/>
        <w:gridCol w:w="935"/>
        <w:gridCol w:w="934"/>
        <w:gridCol w:w="467"/>
        <w:gridCol w:w="467"/>
        <w:gridCol w:w="935"/>
        <w:gridCol w:w="3"/>
        <w:gridCol w:w="6"/>
        <w:gridCol w:w="2"/>
        <w:gridCol w:w="3"/>
        <w:gridCol w:w="3"/>
        <w:gridCol w:w="3"/>
        <w:gridCol w:w="3"/>
        <w:gridCol w:w="3"/>
      </w:tblGrid>
      <w:tr>
        <w:tblPrEx>
          <w:tblCellMar>
            <w:top w:w="0" w:type="dxa"/>
            <w:left w:w="108" w:type="dxa"/>
            <w:bottom w:w="0" w:type="dxa"/>
            <w:right w:w="108" w:type="dxa"/>
          </w:tblCellMar>
        </w:tblPrEx>
        <w:trPr>
          <w:gridAfter w:val="8"/>
          <w:wAfter w:w="26" w:type="dxa"/>
          <w:trHeight w:val="90" w:hRule="atLeast"/>
        </w:trPr>
        <w:tc>
          <w:tcPr>
            <w:tcW w:w="8961"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CellMar>
            <w:top w:w="0" w:type="dxa"/>
            <w:left w:w="108" w:type="dxa"/>
            <w:bottom w:w="0" w:type="dxa"/>
            <w:right w:w="108" w:type="dxa"/>
          </w:tblCellMar>
        </w:tblPrEx>
        <w:trPr>
          <w:gridAfter w:val="8"/>
          <w:wAfter w:w="26" w:type="dxa"/>
          <w:trHeight w:val="285" w:hRule="atLeast"/>
        </w:trPr>
        <w:tc>
          <w:tcPr>
            <w:tcW w:w="8961"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tblPrEx>
          <w:tblCellMar>
            <w:top w:w="0" w:type="dxa"/>
            <w:left w:w="108" w:type="dxa"/>
            <w:bottom w:w="0" w:type="dxa"/>
            <w:right w:w="108" w:type="dxa"/>
          </w:tblCellMar>
        </w:tblPrEx>
        <w:trPr>
          <w:gridAfter w:val="8"/>
          <w:wAfter w:w="26" w:type="dxa"/>
          <w:trHeight w:val="285" w:hRule="atLeast"/>
        </w:trPr>
        <w:tc>
          <w:tcPr>
            <w:tcW w:w="131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7646" w:type="dxa"/>
            <w:gridSpan w:val="8"/>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特克斯县幼儿园</w:t>
            </w:r>
          </w:p>
        </w:tc>
      </w:tr>
      <w:tr>
        <w:tblPrEx>
          <w:tblCellMar>
            <w:top w:w="0" w:type="dxa"/>
            <w:left w:w="108" w:type="dxa"/>
            <w:bottom w:w="0" w:type="dxa"/>
            <w:right w:w="108" w:type="dxa"/>
          </w:tblCellMar>
        </w:tblPrEx>
        <w:trPr>
          <w:gridAfter w:val="8"/>
          <w:wAfter w:w="26" w:type="dxa"/>
          <w:trHeight w:val="285" w:hRule="atLeast"/>
        </w:trPr>
        <w:tc>
          <w:tcPr>
            <w:tcW w:w="368"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947"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szCs w:val="24"/>
              </w:rPr>
            </w:pPr>
            <w:r>
              <w:rPr>
                <w:rFonts w:hint="eastAsia" w:ascii="宋体" w:hAnsi="宋体" w:eastAsia="宋体" w:cs="宋体"/>
                <w:b/>
                <w:bCs/>
                <w:i w:val="0"/>
                <w:iCs w:val="0"/>
                <w:color w:val="000000"/>
                <w:kern w:val="0"/>
                <w:sz w:val="24"/>
                <w:szCs w:val="24"/>
                <w:u w:val="none"/>
                <w:lang w:val="en-US" w:eastAsia="zh-CN" w:bidi="ar"/>
              </w:rPr>
              <w:t>任务名称</w:t>
            </w:r>
          </w:p>
        </w:tc>
        <w:tc>
          <w:tcPr>
            <w:tcW w:w="20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szCs w:val="24"/>
              </w:rPr>
            </w:pPr>
            <w:r>
              <w:rPr>
                <w:rFonts w:hint="eastAsia" w:ascii="宋体" w:hAnsi="宋体" w:eastAsia="宋体" w:cs="宋体"/>
                <w:b/>
                <w:bCs/>
                <w:i w:val="0"/>
                <w:iCs w:val="0"/>
                <w:color w:val="000000"/>
                <w:kern w:val="0"/>
                <w:sz w:val="24"/>
                <w:szCs w:val="24"/>
                <w:u w:val="none"/>
                <w:lang w:val="en-US" w:eastAsia="zh-CN" w:bidi="ar"/>
              </w:rPr>
              <w:t>主要内容</w:t>
            </w:r>
          </w:p>
        </w:tc>
        <w:tc>
          <w:tcPr>
            <w:tcW w:w="2803"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szCs w:val="24"/>
              </w:rPr>
            </w:pPr>
            <w:r>
              <w:rPr>
                <w:rFonts w:hint="eastAsia" w:ascii="宋体" w:hAnsi="宋体" w:eastAsia="宋体" w:cs="宋体"/>
                <w:b/>
                <w:bCs/>
                <w:i w:val="0"/>
                <w:iCs w:val="0"/>
                <w:color w:val="000000"/>
                <w:kern w:val="0"/>
                <w:sz w:val="24"/>
                <w:szCs w:val="24"/>
                <w:u w:val="none"/>
                <w:lang w:val="en-US" w:eastAsia="zh-CN" w:bidi="ar"/>
              </w:rPr>
              <w:t>预算金额（万元）</w:t>
            </w:r>
          </w:p>
        </w:tc>
        <w:tc>
          <w:tcPr>
            <w:tcW w:w="2803" w:type="dxa"/>
            <w:gridSpan w:val="4"/>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b/>
                <w:bCs/>
                <w:color w:val="000000"/>
                <w:kern w:val="0"/>
                <w:sz w:val="24"/>
                <w:szCs w:val="24"/>
              </w:rPr>
            </w:pPr>
            <w:r>
              <w:rPr>
                <w:rFonts w:hint="eastAsia" w:ascii="宋体" w:hAnsi="宋体" w:eastAsia="宋体" w:cs="宋体"/>
                <w:b/>
                <w:bCs/>
                <w:i w:val="0"/>
                <w:iCs w:val="0"/>
                <w:color w:val="000000"/>
                <w:kern w:val="0"/>
                <w:sz w:val="24"/>
                <w:szCs w:val="24"/>
                <w:u w:val="none"/>
                <w:lang w:val="en-US" w:eastAsia="zh-CN" w:bidi="ar"/>
              </w:rPr>
              <w:t>实际执行（万元）</w:t>
            </w:r>
          </w:p>
        </w:tc>
      </w:tr>
      <w:tr>
        <w:tblPrEx>
          <w:tblCellMar>
            <w:top w:w="0" w:type="dxa"/>
            <w:left w:w="108" w:type="dxa"/>
            <w:bottom w:w="0" w:type="dxa"/>
            <w:right w:w="108" w:type="dxa"/>
          </w:tblCellMar>
        </w:tblPrEx>
        <w:trPr>
          <w:trHeight w:val="806" w:hRule="atLeast"/>
        </w:trPr>
        <w:tc>
          <w:tcPr>
            <w:tcW w:w="3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47"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b/>
                <w:bCs/>
                <w:kern w:val="0"/>
                <w:sz w:val="24"/>
                <w:szCs w:val="24"/>
              </w:rPr>
            </w:pPr>
          </w:p>
        </w:tc>
        <w:tc>
          <w:tcPr>
            <w:tcW w:w="204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b/>
                <w:bCs/>
                <w:kern w:val="0"/>
                <w:sz w:val="24"/>
                <w:szCs w:val="24"/>
              </w:rPr>
            </w:pPr>
          </w:p>
        </w:tc>
        <w:tc>
          <w:tcPr>
            <w:tcW w:w="9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szCs w:val="24"/>
              </w:rPr>
            </w:pPr>
            <w:r>
              <w:rPr>
                <w:rFonts w:hint="eastAsia" w:ascii="宋体" w:hAnsi="宋体" w:eastAsia="宋体" w:cs="宋体"/>
                <w:b/>
                <w:bCs/>
                <w:i w:val="0"/>
                <w:iCs w:val="0"/>
                <w:color w:val="000000"/>
                <w:kern w:val="0"/>
                <w:sz w:val="24"/>
                <w:szCs w:val="24"/>
                <w:u w:val="none"/>
                <w:lang w:val="en-US" w:eastAsia="zh-CN" w:bidi="ar"/>
              </w:rPr>
              <w:t>总额</w:t>
            </w:r>
          </w:p>
        </w:tc>
        <w:tc>
          <w:tcPr>
            <w:tcW w:w="9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szCs w:val="24"/>
              </w:rPr>
            </w:pPr>
            <w:r>
              <w:rPr>
                <w:rFonts w:hint="eastAsia" w:ascii="宋体" w:hAnsi="宋体" w:eastAsia="宋体" w:cs="宋体"/>
                <w:b/>
                <w:bCs/>
                <w:i w:val="0"/>
                <w:iCs w:val="0"/>
                <w:color w:val="000000"/>
                <w:kern w:val="0"/>
                <w:sz w:val="24"/>
                <w:szCs w:val="24"/>
                <w:u w:val="none"/>
                <w:lang w:val="en-US" w:eastAsia="zh-CN" w:bidi="ar"/>
              </w:rPr>
              <w:t>财政拨款</w:t>
            </w:r>
          </w:p>
        </w:tc>
        <w:tc>
          <w:tcPr>
            <w:tcW w:w="9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c>
          <w:tcPr>
            <w:tcW w:w="9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szCs w:val="24"/>
              </w:rPr>
            </w:pPr>
            <w:r>
              <w:rPr>
                <w:rFonts w:hint="eastAsia" w:ascii="宋体" w:hAnsi="宋体" w:eastAsia="宋体" w:cs="宋体"/>
                <w:b/>
                <w:bCs/>
                <w:i w:val="0"/>
                <w:iCs w:val="0"/>
                <w:color w:val="000000"/>
                <w:kern w:val="0"/>
                <w:sz w:val="24"/>
                <w:szCs w:val="24"/>
                <w:u w:val="none"/>
                <w:lang w:val="en-US" w:eastAsia="zh-CN" w:bidi="ar"/>
              </w:rPr>
              <w:t>总额</w:t>
            </w:r>
          </w:p>
        </w:tc>
        <w:tc>
          <w:tcPr>
            <w:tcW w:w="9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szCs w:val="24"/>
              </w:rPr>
            </w:pPr>
            <w:r>
              <w:rPr>
                <w:rFonts w:hint="eastAsia" w:ascii="宋体" w:hAnsi="宋体" w:eastAsia="宋体" w:cs="宋体"/>
                <w:b/>
                <w:bCs/>
                <w:i w:val="0"/>
                <w:iCs w:val="0"/>
                <w:color w:val="000000"/>
                <w:kern w:val="0"/>
                <w:sz w:val="24"/>
                <w:szCs w:val="24"/>
                <w:u w:val="none"/>
                <w:lang w:val="en-US" w:eastAsia="zh-CN" w:bidi="ar"/>
              </w:rPr>
              <w:t>财政拨款</w:t>
            </w:r>
          </w:p>
        </w:tc>
        <w:tc>
          <w:tcPr>
            <w:tcW w:w="9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szCs w:val="24"/>
              </w:rPr>
            </w:pPr>
            <w:r>
              <w:rPr>
                <w:rFonts w:hint="eastAsia" w:ascii="宋体" w:hAnsi="宋体" w:eastAsia="宋体" w:cs="宋体"/>
                <w:b/>
                <w:bCs/>
                <w:i w:val="0"/>
                <w:iCs w:val="0"/>
                <w:color w:val="000000"/>
                <w:kern w:val="0"/>
                <w:sz w:val="24"/>
                <w:szCs w:val="24"/>
                <w:u w:val="none"/>
                <w:lang w:val="en-US" w:eastAsia="zh-CN" w:bidi="ar"/>
              </w:rPr>
              <w:t>其他资金</w:t>
            </w:r>
          </w:p>
        </w:tc>
        <w:tc>
          <w:tcPr>
            <w:tcW w:w="3" w:type="dxa"/>
            <w:vMerge w:val="continue"/>
            <w:vAlign w:val="center"/>
          </w:tcPr>
          <w:p>
            <w:pPr>
              <w:jc w:val="center"/>
            </w:pPr>
          </w:p>
        </w:tc>
        <w:tc>
          <w:tcPr>
            <w:tcW w:w="6" w:type="dxa"/>
            <w:vMerge w:val="continue"/>
            <w:vAlign w:val="center"/>
          </w:tcPr>
          <w:p>
            <w:pPr>
              <w:jc w:val="center"/>
            </w:pPr>
          </w:p>
        </w:tc>
        <w:tc>
          <w:tcPr>
            <w:tcW w:w="2" w:type="dxa"/>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3" w:type="dxa"/>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3" w:type="dxa"/>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c>
          <w:tcPr>
            <w:tcW w:w="3" w:type="dxa"/>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3" w:type="dxa"/>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3" w:type="dxa"/>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CellMar>
            <w:top w:w="0" w:type="dxa"/>
            <w:left w:w="108" w:type="dxa"/>
            <w:bottom w:w="0" w:type="dxa"/>
            <w:right w:w="108" w:type="dxa"/>
          </w:tblCellMar>
        </w:tblPrEx>
        <w:trPr>
          <w:trHeight w:val="806" w:hRule="atLeast"/>
        </w:trPr>
        <w:tc>
          <w:tcPr>
            <w:tcW w:w="3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47" w:type="dxa"/>
            <w:tcBorders>
              <w:top w:val="single" w:color="auto" w:sz="4" w:space="0"/>
              <w:left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kern w:val="0"/>
                <w:sz w:val="20"/>
                <w:szCs w:val="20"/>
                <w:lang w:val="en-US" w:eastAsia="zh-CN"/>
              </w:rPr>
            </w:pPr>
            <w:r>
              <w:rPr>
                <w:rFonts w:hint="eastAsia" w:ascii="宋体" w:hAnsi="宋体" w:eastAsia="宋体" w:cs="宋体"/>
                <w:i w:val="0"/>
                <w:iCs w:val="0"/>
                <w:color w:val="000000"/>
                <w:kern w:val="0"/>
                <w:sz w:val="24"/>
                <w:szCs w:val="24"/>
                <w:u w:val="none"/>
                <w:lang w:val="en-US" w:eastAsia="zh-CN" w:bidi="ar"/>
              </w:rPr>
              <w:t>人员保障</w:t>
            </w:r>
          </w:p>
        </w:tc>
        <w:tc>
          <w:tcPr>
            <w:tcW w:w="20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20"/>
                <w:szCs w:val="20"/>
                <w:u w:val="none"/>
                <w:lang w:val="en-US" w:eastAsia="zh-CN" w:bidi="ar"/>
              </w:rPr>
              <w:t>用于保障部门单位人员发放工资福利支出及对个人和家庭补助</w:t>
            </w:r>
          </w:p>
        </w:tc>
        <w:tc>
          <w:tcPr>
            <w:tcW w:w="934" w:type="dxa"/>
            <w:tcBorders>
              <w:top w:val="nil"/>
              <w:left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6"/>
                <w:szCs w:val="16"/>
                <w:lang w:val="en-US" w:eastAsia="zh-CN"/>
              </w:rPr>
            </w:pPr>
            <w:r>
              <w:rPr>
                <w:rFonts w:hint="eastAsia" w:ascii="宋体" w:hAnsi="宋体" w:eastAsia="宋体" w:cs="宋体"/>
                <w:i w:val="0"/>
                <w:iCs w:val="0"/>
                <w:color w:val="000000"/>
                <w:kern w:val="0"/>
                <w:sz w:val="20"/>
                <w:szCs w:val="20"/>
                <w:u w:val="none"/>
                <w:lang w:val="en-US" w:eastAsia="zh-CN" w:bidi="ar"/>
              </w:rPr>
              <w:t xml:space="preserve">1023.06 </w:t>
            </w:r>
          </w:p>
        </w:tc>
        <w:tc>
          <w:tcPr>
            <w:tcW w:w="934" w:type="dxa"/>
            <w:tcBorders>
              <w:top w:val="nil"/>
              <w:left w:val="nil"/>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6"/>
                <w:szCs w:val="16"/>
                <w:lang w:val="en-US"/>
              </w:rPr>
            </w:pPr>
            <w:r>
              <w:rPr>
                <w:rFonts w:hint="eastAsia" w:ascii="宋体" w:hAnsi="宋体" w:eastAsia="宋体" w:cs="宋体"/>
                <w:i w:val="0"/>
                <w:iCs w:val="0"/>
                <w:color w:val="000000"/>
                <w:kern w:val="0"/>
                <w:sz w:val="20"/>
                <w:szCs w:val="20"/>
                <w:u w:val="none"/>
                <w:lang w:val="en-US" w:eastAsia="zh-CN" w:bidi="ar"/>
              </w:rPr>
              <w:t xml:space="preserve">1023.06 </w:t>
            </w:r>
          </w:p>
        </w:tc>
        <w:tc>
          <w:tcPr>
            <w:tcW w:w="935" w:type="dxa"/>
            <w:tcBorders>
              <w:top w:val="nil"/>
              <w:left w:val="nil"/>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0.00 </w:t>
            </w:r>
          </w:p>
        </w:tc>
        <w:tc>
          <w:tcPr>
            <w:tcW w:w="934" w:type="dxa"/>
            <w:tcBorders>
              <w:top w:val="nil"/>
              <w:left w:val="nil"/>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lang w:val="en-US" w:eastAsia="zh-CN"/>
              </w:rPr>
            </w:pPr>
            <w:r>
              <w:rPr>
                <w:rFonts w:hint="eastAsia" w:ascii="宋体" w:hAnsi="宋体" w:eastAsia="宋体" w:cs="宋体"/>
                <w:i w:val="0"/>
                <w:iCs w:val="0"/>
                <w:color w:val="000000"/>
                <w:kern w:val="0"/>
                <w:sz w:val="20"/>
                <w:szCs w:val="20"/>
                <w:u w:val="none"/>
                <w:lang w:val="en-US" w:eastAsia="zh-CN" w:bidi="ar"/>
              </w:rPr>
              <w:t xml:space="preserve">1023.06 </w:t>
            </w:r>
          </w:p>
        </w:tc>
        <w:tc>
          <w:tcPr>
            <w:tcW w:w="934" w:type="dxa"/>
            <w:gridSpan w:val="2"/>
            <w:tcBorders>
              <w:top w:val="nil"/>
              <w:left w:val="nil"/>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6"/>
                <w:szCs w:val="16"/>
                <w:lang w:val="en-US" w:eastAsia="zh-CN"/>
              </w:rPr>
            </w:pPr>
            <w:r>
              <w:rPr>
                <w:rFonts w:hint="eastAsia" w:ascii="宋体" w:hAnsi="宋体" w:eastAsia="宋体" w:cs="宋体"/>
                <w:i w:val="0"/>
                <w:iCs w:val="0"/>
                <w:color w:val="000000"/>
                <w:kern w:val="0"/>
                <w:sz w:val="20"/>
                <w:szCs w:val="20"/>
                <w:u w:val="none"/>
                <w:lang w:val="en-US" w:eastAsia="zh-CN" w:bidi="ar"/>
              </w:rPr>
              <w:t xml:space="preserve">1023.06 </w:t>
            </w:r>
          </w:p>
        </w:tc>
        <w:tc>
          <w:tcPr>
            <w:tcW w:w="935" w:type="dxa"/>
            <w:tcBorders>
              <w:top w:val="nil"/>
              <w:left w:val="nil"/>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lang w:val="en-US" w:eastAsia="zh-CN"/>
              </w:rPr>
            </w:pPr>
            <w:r>
              <w:rPr>
                <w:rFonts w:hint="eastAsia" w:ascii="宋体" w:hAnsi="宋体" w:eastAsia="宋体" w:cs="宋体"/>
                <w:b/>
                <w:bCs/>
                <w:i w:val="0"/>
                <w:iCs w:val="0"/>
                <w:color w:val="000000"/>
                <w:kern w:val="0"/>
                <w:sz w:val="20"/>
                <w:szCs w:val="20"/>
                <w:u w:val="none"/>
                <w:lang w:val="en-US" w:eastAsia="zh-CN" w:bidi="ar"/>
              </w:rPr>
              <w:t xml:space="preserve">0.00 </w:t>
            </w:r>
          </w:p>
        </w:tc>
        <w:tc>
          <w:tcPr>
            <w:tcW w:w="3"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4"/>
                <w:szCs w:val="24"/>
                <w:u w:val="none"/>
                <w:lang w:val="en-US" w:eastAsia="zh-CN" w:bidi="ar"/>
              </w:rPr>
              <w:t>人员保障</w:t>
            </w:r>
          </w:p>
        </w:tc>
        <w:tc>
          <w:tcPr>
            <w:tcW w:w="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用于保障部门单位人员发放工资福利支出及对个人和家庭补助</w:t>
            </w:r>
          </w:p>
        </w:tc>
        <w:tc>
          <w:tcPr>
            <w:tcW w:w="2" w:type="dxa"/>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1023.06 </w:t>
            </w:r>
          </w:p>
        </w:tc>
        <w:tc>
          <w:tcPr>
            <w:tcW w:w="3" w:type="dxa"/>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1023.06 </w:t>
            </w:r>
          </w:p>
        </w:tc>
        <w:tc>
          <w:tcPr>
            <w:tcW w:w="3" w:type="dxa"/>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0.00 </w:t>
            </w:r>
          </w:p>
        </w:tc>
        <w:tc>
          <w:tcPr>
            <w:tcW w:w="3" w:type="dxa"/>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1023.06 </w:t>
            </w:r>
          </w:p>
        </w:tc>
        <w:tc>
          <w:tcPr>
            <w:tcW w:w="3" w:type="dxa"/>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1023.06 </w:t>
            </w:r>
          </w:p>
        </w:tc>
        <w:tc>
          <w:tcPr>
            <w:tcW w:w="3" w:type="dxa"/>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876" w:hRule="atLeast"/>
        </w:trPr>
        <w:tc>
          <w:tcPr>
            <w:tcW w:w="3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98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kern w:val="0"/>
                <w:sz w:val="20"/>
                <w:szCs w:val="20"/>
                <w:lang w:val="en-US" w:eastAsia="zh-CN"/>
              </w:rPr>
            </w:pPr>
            <w:r>
              <w:rPr>
                <w:rFonts w:hint="eastAsia" w:ascii="宋体" w:hAnsi="宋体" w:eastAsia="宋体" w:cs="宋体"/>
                <w:b/>
                <w:bCs/>
                <w:i w:val="0"/>
                <w:iCs w:val="0"/>
                <w:color w:val="000000"/>
                <w:kern w:val="0"/>
                <w:sz w:val="24"/>
                <w:szCs w:val="24"/>
                <w:u w:val="none"/>
                <w:lang w:val="en-US" w:eastAsia="zh-CN" w:bidi="ar"/>
              </w:rPr>
              <w:t>金额合计</w:t>
            </w:r>
          </w:p>
        </w:tc>
        <w:tc>
          <w:tcPr>
            <w:tcW w:w="934"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1023.06 </w:t>
            </w: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1023.06 </w:t>
            </w:r>
          </w:p>
        </w:tc>
        <w:tc>
          <w:tcPr>
            <w:tcW w:w="93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6"/>
                <w:szCs w:val="16"/>
                <w:lang w:val="en-US" w:eastAsia="zh-CN" w:bidi="ar-SA"/>
              </w:rPr>
            </w:pPr>
            <w:r>
              <w:rPr>
                <w:rFonts w:hint="eastAsia" w:ascii="宋体" w:hAnsi="宋体" w:eastAsia="宋体" w:cs="宋体"/>
                <w:i w:val="0"/>
                <w:iCs w:val="0"/>
                <w:color w:val="000000"/>
                <w:kern w:val="0"/>
                <w:sz w:val="20"/>
                <w:szCs w:val="20"/>
                <w:u w:val="none"/>
                <w:lang w:val="en-US" w:eastAsia="zh-CN" w:bidi="ar"/>
              </w:rPr>
              <w:t xml:space="preserve">0.00 </w:t>
            </w:r>
          </w:p>
        </w:tc>
        <w:tc>
          <w:tcPr>
            <w:tcW w:w="93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lang w:val="en-US" w:eastAsia="zh-CN"/>
              </w:rPr>
            </w:pPr>
            <w:r>
              <w:rPr>
                <w:rFonts w:hint="eastAsia" w:ascii="宋体" w:hAnsi="宋体" w:eastAsia="宋体" w:cs="宋体"/>
                <w:i w:val="0"/>
                <w:iCs w:val="0"/>
                <w:color w:val="000000"/>
                <w:kern w:val="0"/>
                <w:sz w:val="20"/>
                <w:szCs w:val="20"/>
                <w:u w:val="none"/>
                <w:lang w:val="en-US" w:eastAsia="zh-CN" w:bidi="ar"/>
              </w:rPr>
              <w:t xml:space="preserve">1023.06 </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6"/>
                <w:szCs w:val="16"/>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1023.06 </w:t>
            </w:r>
          </w:p>
        </w:tc>
        <w:tc>
          <w:tcPr>
            <w:tcW w:w="93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lang w:val="en-US" w:eastAsia="zh-CN" w:bidi="ar-SA"/>
              </w:rPr>
            </w:pPr>
            <w:r>
              <w:rPr>
                <w:rFonts w:hint="eastAsia" w:ascii="宋体" w:hAnsi="宋体" w:eastAsia="宋体" w:cs="宋体"/>
                <w:i w:val="0"/>
                <w:iCs w:val="0"/>
                <w:color w:val="000000"/>
                <w:kern w:val="0"/>
                <w:sz w:val="20"/>
                <w:szCs w:val="20"/>
                <w:u w:val="none"/>
                <w:lang w:val="en-US" w:eastAsia="zh-CN" w:bidi="ar"/>
              </w:rPr>
              <w:t xml:space="preserve">0.00 </w:t>
            </w:r>
          </w:p>
        </w:tc>
        <w:tc>
          <w:tcPr>
            <w:tcW w:w="9" w:type="dxa"/>
            <w:gridSpan w:val="2"/>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金额合计</w:t>
            </w:r>
          </w:p>
        </w:tc>
        <w:tc>
          <w:tcPr>
            <w:tcW w:w="2" w:type="dxa"/>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1023.06 </w:t>
            </w:r>
          </w:p>
        </w:tc>
        <w:tc>
          <w:tcPr>
            <w:tcW w:w="3" w:type="dxa"/>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1023.06 </w:t>
            </w:r>
          </w:p>
        </w:tc>
        <w:tc>
          <w:tcPr>
            <w:tcW w:w="3" w:type="dxa"/>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0.00 </w:t>
            </w:r>
          </w:p>
        </w:tc>
        <w:tc>
          <w:tcPr>
            <w:tcW w:w="3" w:type="dxa"/>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1023.06 </w:t>
            </w:r>
          </w:p>
        </w:tc>
        <w:tc>
          <w:tcPr>
            <w:tcW w:w="3" w:type="dxa"/>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1023.06 </w:t>
            </w:r>
          </w:p>
        </w:tc>
        <w:tc>
          <w:tcPr>
            <w:tcW w:w="3" w:type="dxa"/>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368"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92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预期目标</w:t>
            </w:r>
          </w:p>
        </w:tc>
        <w:tc>
          <w:tcPr>
            <w:tcW w:w="4672"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b/>
                <w:bCs/>
                <w:i w:val="0"/>
                <w:iCs w:val="0"/>
                <w:color w:val="000000"/>
                <w:kern w:val="0"/>
                <w:sz w:val="24"/>
                <w:szCs w:val="24"/>
                <w:u w:val="none"/>
                <w:lang w:val="en-US" w:eastAsia="zh-CN" w:bidi="ar"/>
              </w:rPr>
              <w:t>实际完成目标</w:t>
            </w:r>
          </w:p>
        </w:tc>
        <w:tc>
          <w:tcPr>
            <w:tcW w:w="11" w:type="dxa"/>
            <w:gridSpan w:val="3"/>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预期目标</w:t>
            </w:r>
          </w:p>
        </w:tc>
        <w:tc>
          <w:tcPr>
            <w:tcW w:w="15" w:type="dxa"/>
            <w:gridSpan w:val="5"/>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实际完成目标</w:t>
            </w:r>
          </w:p>
        </w:tc>
      </w:tr>
      <w:tr>
        <w:tblPrEx>
          <w:tblCellMar>
            <w:top w:w="0" w:type="dxa"/>
            <w:left w:w="108" w:type="dxa"/>
            <w:bottom w:w="0" w:type="dxa"/>
            <w:right w:w="108" w:type="dxa"/>
          </w:tblCellMar>
        </w:tblPrEx>
        <w:trPr>
          <w:gridAfter w:val="8"/>
          <w:wAfter w:w="26" w:type="dxa"/>
          <w:trHeight w:val="285" w:hRule="atLeast"/>
        </w:trPr>
        <w:tc>
          <w:tcPr>
            <w:tcW w:w="368"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3921"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目标1：确保人员经费的合理分配，目标2：完成在职教师工资发放、按时完成社保、公积金缴纳。目标3：及时完成退休教师取暖费、计生奖励金的发放。目标4：完成每年教学任务。目标5：全面推进各类教师能力提升培训，加强教师队伍建设。目标6：做好教育教学管理工作。</w:t>
            </w:r>
          </w:p>
        </w:tc>
        <w:tc>
          <w:tcPr>
            <w:tcW w:w="4672"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完成人员经费的合理分配。完成在职教师工资发放、按时完成社保、公积金缴纳。及时完成退休教师取暖费、计生奖励金目发放。完成每年教学任务，完成全面推进各类教师能力提升培训，加强教师队伍建设。完成2021年各项教育教学管理工作。</w:t>
            </w:r>
          </w:p>
        </w:tc>
      </w:tr>
      <w:tr>
        <w:tblPrEx>
          <w:tblCellMar>
            <w:top w:w="0" w:type="dxa"/>
            <w:left w:w="108" w:type="dxa"/>
            <w:bottom w:w="0" w:type="dxa"/>
            <w:right w:w="108" w:type="dxa"/>
          </w:tblCellMar>
        </w:tblPrEx>
        <w:trPr>
          <w:gridAfter w:val="8"/>
          <w:wAfter w:w="26" w:type="dxa"/>
          <w:trHeight w:val="1662" w:hRule="atLeast"/>
        </w:trPr>
        <w:tc>
          <w:tcPr>
            <w:tcW w:w="368"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94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一级指标</w:t>
            </w:r>
          </w:p>
        </w:tc>
        <w:tc>
          <w:tcPr>
            <w:tcW w:w="204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二级指标</w:t>
            </w:r>
          </w:p>
        </w:tc>
        <w:tc>
          <w:tcPr>
            <w:tcW w:w="2803"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三级指标</w:t>
            </w:r>
          </w:p>
        </w:tc>
        <w:tc>
          <w:tcPr>
            <w:tcW w:w="140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40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CellMar>
            <w:top w:w="0" w:type="dxa"/>
            <w:left w:w="108" w:type="dxa"/>
            <w:bottom w:w="0" w:type="dxa"/>
            <w:right w:w="108" w:type="dxa"/>
          </w:tblCellMar>
        </w:tblPrEx>
        <w:trPr>
          <w:gridAfter w:val="8"/>
          <w:wAfter w:w="26" w:type="dxa"/>
          <w:trHeight w:val="885" w:hRule="atLeast"/>
        </w:trPr>
        <w:tc>
          <w:tcPr>
            <w:tcW w:w="368"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947"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18"/>
                <w:szCs w:val="18"/>
                <w:u w:val="none"/>
                <w:lang w:val="en-US" w:eastAsia="zh-CN" w:bidi="ar"/>
              </w:rPr>
              <w:t>产出指标</w:t>
            </w:r>
          </w:p>
        </w:tc>
        <w:tc>
          <w:tcPr>
            <w:tcW w:w="2040"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数量指标</w:t>
            </w:r>
          </w:p>
        </w:tc>
        <w:tc>
          <w:tcPr>
            <w:tcW w:w="2803"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kern w:val="0"/>
                <w:sz w:val="16"/>
                <w:szCs w:val="16"/>
                <w:lang w:val="en-US" w:eastAsia="zh-CN"/>
              </w:rPr>
            </w:pPr>
            <w:r>
              <w:rPr>
                <w:rFonts w:hint="eastAsia" w:ascii="宋体" w:hAnsi="宋体" w:eastAsia="宋体" w:cs="宋体"/>
                <w:i w:val="0"/>
                <w:iCs w:val="0"/>
                <w:color w:val="000000"/>
                <w:kern w:val="0"/>
                <w:sz w:val="24"/>
                <w:szCs w:val="24"/>
                <w:u w:val="none"/>
                <w:lang w:val="en-US" w:eastAsia="zh-CN" w:bidi="ar"/>
              </w:rPr>
              <w:t>在职人员数</w:t>
            </w:r>
          </w:p>
        </w:tc>
        <w:tc>
          <w:tcPr>
            <w:tcW w:w="140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=106人</w:t>
            </w:r>
          </w:p>
        </w:tc>
        <w:tc>
          <w:tcPr>
            <w:tcW w:w="140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106人</w:t>
            </w:r>
          </w:p>
        </w:tc>
      </w:tr>
      <w:tr>
        <w:tblPrEx>
          <w:tblCellMar>
            <w:top w:w="0" w:type="dxa"/>
            <w:left w:w="108" w:type="dxa"/>
            <w:bottom w:w="0" w:type="dxa"/>
            <w:right w:w="108" w:type="dxa"/>
          </w:tblCellMar>
        </w:tblPrEx>
        <w:trPr>
          <w:gridAfter w:val="8"/>
          <w:wAfter w:w="26" w:type="dxa"/>
          <w:trHeight w:val="285" w:hRule="atLeast"/>
        </w:trPr>
        <w:tc>
          <w:tcPr>
            <w:tcW w:w="3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47"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040"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kern w:val="0"/>
                <w:sz w:val="16"/>
                <w:szCs w:val="16"/>
                <w:lang w:val="en-US" w:eastAsia="zh-CN"/>
              </w:rPr>
            </w:pPr>
          </w:p>
        </w:tc>
        <w:tc>
          <w:tcPr>
            <w:tcW w:w="280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6"/>
                <w:szCs w:val="16"/>
                <w:lang w:val="en-US" w:eastAsia="zh-CN"/>
              </w:rPr>
            </w:pPr>
            <w:r>
              <w:rPr>
                <w:rFonts w:hint="eastAsia" w:ascii="宋体" w:hAnsi="宋体" w:eastAsia="宋体" w:cs="宋体"/>
                <w:i w:val="0"/>
                <w:iCs w:val="0"/>
                <w:color w:val="000000"/>
                <w:kern w:val="0"/>
                <w:sz w:val="24"/>
                <w:szCs w:val="24"/>
                <w:u w:val="none"/>
                <w:lang w:val="en-US" w:eastAsia="zh-CN" w:bidi="ar"/>
              </w:rPr>
              <w:t>退休人员数</w:t>
            </w:r>
          </w:p>
        </w:tc>
        <w:tc>
          <w:tcPr>
            <w:tcW w:w="140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=35人</w:t>
            </w:r>
          </w:p>
        </w:tc>
        <w:tc>
          <w:tcPr>
            <w:tcW w:w="14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8"/>
                <w:szCs w:val="18"/>
                <w:u w:val="none"/>
                <w:lang w:val="en-US" w:eastAsia="zh-CN" w:bidi="ar"/>
              </w:rPr>
              <w:t>35人</w:t>
            </w:r>
          </w:p>
        </w:tc>
      </w:tr>
      <w:tr>
        <w:tblPrEx>
          <w:tblCellMar>
            <w:top w:w="0" w:type="dxa"/>
            <w:left w:w="108" w:type="dxa"/>
            <w:bottom w:w="0" w:type="dxa"/>
            <w:right w:w="108" w:type="dxa"/>
          </w:tblCellMar>
        </w:tblPrEx>
        <w:trPr>
          <w:gridAfter w:val="8"/>
          <w:wAfter w:w="26" w:type="dxa"/>
          <w:trHeight w:val="285" w:hRule="atLeast"/>
        </w:trPr>
        <w:tc>
          <w:tcPr>
            <w:tcW w:w="3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4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040"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质量指标</w:t>
            </w:r>
          </w:p>
        </w:tc>
        <w:tc>
          <w:tcPr>
            <w:tcW w:w="280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lang w:eastAsia="zh-CN"/>
              </w:rPr>
            </w:pPr>
            <w:r>
              <w:rPr>
                <w:rFonts w:hint="eastAsia" w:ascii="宋体" w:hAnsi="宋体" w:eastAsia="宋体" w:cs="宋体"/>
                <w:i w:val="0"/>
                <w:iCs w:val="0"/>
                <w:color w:val="000000"/>
                <w:kern w:val="0"/>
                <w:sz w:val="18"/>
                <w:szCs w:val="18"/>
                <w:u w:val="none"/>
                <w:lang w:val="en-US" w:eastAsia="zh-CN" w:bidi="ar"/>
              </w:rPr>
              <w:t>工资及公用经费保障率</w:t>
            </w:r>
          </w:p>
        </w:tc>
        <w:tc>
          <w:tcPr>
            <w:tcW w:w="140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=100%</w:t>
            </w:r>
          </w:p>
        </w:tc>
        <w:tc>
          <w:tcPr>
            <w:tcW w:w="14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gridAfter w:val="8"/>
          <w:wAfter w:w="26" w:type="dxa"/>
          <w:trHeight w:val="285" w:hRule="atLeast"/>
        </w:trPr>
        <w:tc>
          <w:tcPr>
            <w:tcW w:w="3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4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040"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时效指标</w:t>
            </w:r>
          </w:p>
        </w:tc>
        <w:tc>
          <w:tcPr>
            <w:tcW w:w="280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教学任务及时完成率</w:t>
            </w:r>
          </w:p>
        </w:tc>
        <w:tc>
          <w:tcPr>
            <w:tcW w:w="140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=100%</w:t>
            </w:r>
          </w:p>
        </w:tc>
        <w:tc>
          <w:tcPr>
            <w:tcW w:w="14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gridAfter w:val="8"/>
          <w:wAfter w:w="26" w:type="dxa"/>
          <w:trHeight w:val="285" w:hRule="atLeast"/>
        </w:trPr>
        <w:tc>
          <w:tcPr>
            <w:tcW w:w="3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4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040"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kern w:val="0"/>
                <w:sz w:val="16"/>
                <w:szCs w:val="16"/>
                <w:lang w:val="en-US" w:eastAsia="zh-CN"/>
              </w:rPr>
            </w:pPr>
          </w:p>
        </w:tc>
        <w:tc>
          <w:tcPr>
            <w:tcW w:w="280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资金发放及时性</w:t>
            </w:r>
          </w:p>
        </w:tc>
        <w:tc>
          <w:tcPr>
            <w:tcW w:w="140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8"/>
                <w:szCs w:val="18"/>
                <w:u w:val="none"/>
                <w:lang w:val="en-US" w:eastAsia="zh-CN" w:bidi="ar"/>
              </w:rPr>
              <w:t>=100%</w:t>
            </w:r>
          </w:p>
        </w:tc>
        <w:tc>
          <w:tcPr>
            <w:tcW w:w="14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gridAfter w:val="8"/>
          <w:wAfter w:w="26" w:type="dxa"/>
          <w:trHeight w:val="285" w:hRule="atLeast"/>
        </w:trPr>
        <w:tc>
          <w:tcPr>
            <w:tcW w:w="3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4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040"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成本指标</w:t>
            </w:r>
          </w:p>
        </w:tc>
        <w:tc>
          <w:tcPr>
            <w:tcW w:w="280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在职人员工资，社保，住房</w:t>
            </w:r>
          </w:p>
        </w:tc>
        <w:tc>
          <w:tcPr>
            <w:tcW w:w="140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8"/>
                <w:szCs w:val="18"/>
                <w:u w:val="none"/>
                <w:lang w:val="en-US" w:eastAsia="zh-CN" w:bidi="ar"/>
              </w:rPr>
              <w:t>≤9.6036万元/人/年</w:t>
            </w:r>
          </w:p>
        </w:tc>
        <w:tc>
          <w:tcPr>
            <w:tcW w:w="14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8"/>
                <w:szCs w:val="18"/>
                <w:u w:val="none"/>
                <w:lang w:val="en-US" w:eastAsia="zh-CN" w:bidi="ar"/>
              </w:rPr>
              <w:t>9.6036万元/人/年</w:t>
            </w:r>
          </w:p>
        </w:tc>
      </w:tr>
      <w:tr>
        <w:tblPrEx>
          <w:tblCellMar>
            <w:top w:w="0" w:type="dxa"/>
            <w:left w:w="108" w:type="dxa"/>
            <w:bottom w:w="0" w:type="dxa"/>
            <w:right w:w="108" w:type="dxa"/>
          </w:tblCellMar>
        </w:tblPrEx>
        <w:trPr>
          <w:gridAfter w:val="8"/>
          <w:wAfter w:w="26" w:type="dxa"/>
          <w:trHeight w:val="285" w:hRule="atLeast"/>
        </w:trPr>
        <w:tc>
          <w:tcPr>
            <w:tcW w:w="3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4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040"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kern w:val="0"/>
                <w:sz w:val="16"/>
                <w:szCs w:val="16"/>
                <w:lang w:val="en-US" w:eastAsia="zh-CN"/>
              </w:rPr>
            </w:pPr>
          </w:p>
        </w:tc>
        <w:tc>
          <w:tcPr>
            <w:tcW w:w="280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退休人员计生奖励</w:t>
            </w:r>
          </w:p>
        </w:tc>
        <w:tc>
          <w:tcPr>
            <w:tcW w:w="1401" w:type="dxa"/>
            <w:gridSpan w:val="2"/>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8"/>
                <w:szCs w:val="18"/>
                <w:u w:val="none"/>
                <w:lang w:val="en-US" w:eastAsia="zh-CN" w:bidi="ar"/>
              </w:rPr>
              <w:t>≤0.1311万元/人/年</w:t>
            </w:r>
          </w:p>
        </w:tc>
        <w:tc>
          <w:tcPr>
            <w:tcW w:w="14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8"/>
                <w:szCs w:val="18"/>
                <w:u w:val="none"/>
                <w:lang w:val="en-US" w:eastAsia="zh-CN" w:bidi="ar"/>
              </w:rPr>
              <w:t>0.1311万元/人/年</w:t>
            </w:r>
          </w:p>
        </w:tc>
      </w:tr>
      <w:tr>
        <w:tblPrEx>
          <w:tblCellMar>
            <w:top w:w="0" w:type="dxa"/>
            <w:left w:w="108" w:type="dxa"/>
            <w:bottom w:w="0" w:type="dxa"/>
            <w:right w:w="108" w:type="dxa"/>
          </w:tblCellMar>
        </w:tblPrEx>
        <w:trPr>
          <w:gridAfter w:val="8"/>
          <w:wAfter w:w="26" w:type="dxa"/>
          <w:trHeight w:val="285" w:hRule="atLeast"/>
        </w:trPr>
        <w:tc>
          <w:tcPr>
            <w:tcW w:w="3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4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040"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hint="eastAsia" w:ascii="宋体" w:hAnsi="宋体" w:eastAsia="宋体" w:cs="宋体"/>
                <w:b/>
                <w:bCs/>
                <w:kern w:val="0"/>
                <w:sz w:val="16"/>
                <w:szCs w:val="16"/>
                <w:lang w:val="en-US" w:eastAsia="zh-CN"/>
              </w:rPr>
            </w:pPr>
          </w:p>
        </w:tc>
        <w:tc>
          <w:tcPr>
            <w:tcW w:w="280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取暖费</w:t>
            </w:r>
          </w:p>
        </w:tc>
        <w:tc>
          <w:tcPr>
            <w:tcW w:w="140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≤0.13万元/人/年</w:t>
            </w:r>
          </w:p>
        </w:tc>
        <w:tc>
          <w:tcPr>
            <w:tcW w:w="14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0.13万元/人/年</w:t>
            </w:r>
          </w:p>
        </w:tc>
      </w:tr>
      <w:tr>
        <w:tblPrEx>
          <w:tblCellMar>
            <w:top w:w="0" w:type="dxa"/>
            <w:left w:w="108" w:type="dxa"/>
            <w:bottom w:w="0" w:type="dxa"/>
            <w:right w:w="108" w:type="dxa"/>
          </w:tblCellMar>
        </w:tblPrEx>
        <w:trPr>
          <w:gridAfter w:val="8"/>
          <w:wAfter w:w="26" w:type="dxa"/>
          <w:trHeight w:val="285" w:hRule="atLeast"/>
        </w:trPr>
        <w:tc>
          <w:tcPr>
            <w:tcW w:w="3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47"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18"/>
                <w:szCs w:val="18"/>
                <w:u w:val="none"/>
                <w:lang w:val="en-US" w:eastAsia="zh-CN" w:bidi="ar"/>
              </w:rPr>
              <w:t>效益指标</w:t>
            </w:r>
          </w:p>
        </w:tc>
        <w:tc>
          <w:tcPr>
            <w:tcW w:w="2040"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社会效益指标</w:t>
            </w:r>
          </w:p>
        </w:tc>
        <w:tc>
          <w:tcPr>
            <w:tcW w:w="280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保证教学任务及时完成</w:t>
            </w:r>
          </w:p>
        </w:tc>
        <w:tc>
          <w:tcPr>
            <w:tcW w:w="140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有效保证</w:t>
            </w:r>
          </w:p>
        </w:tc>
        <w:tc>
          <w:tcPr>
            <w:tcW w:w="14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有效保证</w:t>
            </w:r>
          </w:p>
        </w:tc>
      </w:tr>
      <w:tr>
        <w:tblPrEx>
          <w:tblCellMar>
            <w:top w:w="0" w:type="dxa"/>
            <w:left w:w="108" w:type="dxa"/>
            <w:bottom w:w="0" w:type="dxa"/>
            <w:right w:w="108" w:type="dxa"/>
          </w:tblCellMar>
        </w:tblPrEx>
        <w:trPr>
          <w:gridAfter w:val="8"/>
          <w:wAfter w:w="26" w:type="dxa"/>
          <w:trHeight w:val="285" w:hRule="atLeast"/>
        </w:trPr>
        <w:tc>
          <w:tcPr>
            <w:tcW w:w="3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4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040"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kern w:val="0"/>
                <w:sz w:val="16"/>
                <w:szCs w:val="16"/>
                <w:lang w:val="en-US" w:eastAsia="zh-CN"/>
              </w:rPr>
            </w:pPr>
          </w:p>
        </w:tc>
        <w:tc>
          <w:tcPr>
            <w:tcW w:w="280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保证教师队伍稳定</w:t>
            </w:r>
          </w:p>
        </w:tc>
        <w:tc>
          <w:tcPr>
            <w:tcW w:w="140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有效保证</w:t>
            </w:r>
          </w:p>
        </w:tc>
        <w:tc>
          <w:tcPr>
            <w:tcW w:w="14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18"/>
                <w:szCs w:val="18"/>
                <w:u w:val="none"/>
                <w:lang w:val="en-US" w:eastAsia="zh-CN" w:bidi="ar"/>
              </w:rPr>
              <w:t>有效保证</w:t>
            </w:r>
          </w:p>
        </w:tc>
      </w:tr>
      <w:tr>
        <w:tblPrEx>
          <w:tblCellMar>
            <w:top w:w="0" w:type="dxa"/>
            <w:left w:w="108" w:type="dxa"/>
            <w:bottom w:w="0" w:type="dxa"/>
            <w:right w:w="108" w:type="dxa"/>
          </w:tblCellMar>
        </w:tblPrEx>
        <w:trPr>
          <w:gridAfter w:val="8"/>
          <w:wAfter w:w="26" w:type="dxa"/>
          <w:trHeight w:val="285" w:hRule="atLeast"/>
        </w:trPr>
        <w:tc>
          <w:tcPr>
            <w:tcW w:w="3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47"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18"/>
                <w:szCs w:val="18"/>
                <w:u w:val="none"/>
                <w:lang w:val="en-US" w:eastAsia="zh-CN" w:bidi="ar"/>
              </w:rPr>
              <w:t>满意度指标</w:t>
            </w:r>
          </w:p>
        </w:tc>
        <w:tc>
          <w:tcPr>
            <w:tcW w:w="2040"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18"/>
                <w:szCs w:val="18"/>
                <w:u w:val="none"/>
                <w:lang w:val="en-US" w:eastAsia="zh-CN" w:bidi="ar"/>
              </w:rPr>
              <w:t>满意度指标</w:t>
            </w:r>
          </w:p>
        </w:tc>
        <w:tc>
          <w:tcPr>
            <w:tcW w:w="280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18"/>
                <w:szCs w:val="18"/>
                <w:u w:val="none"/>
                <w:lang w:val="en-US" w:eastAsia="zh-CN" w:bidi="ar"/>
              </w:rPr>
              <w:t>教师满意度</w:t>
            </w:r>
          </w:p>
        </w:tc>
        <w:tc>
          <w:tcPr>
            <w:tcW w:w="140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18"/>
                <w:szCs w:val="18"/>
                <w:u w:val="none"/>
                <w:lang w:val="en-US" w:eastAsia="zh-CN" w:bidi="ar"/>
              </w:rPr>
              <w:t>≥95%</w:t>
            </w:r>
          </w:p>
        </w:tc>
        <w:tc>
          <w:tcPr>
            <w:tcW w:w="14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18"/>
                <w:szCs w:val="18"/>
                <w:u w:val="none"/>
                <w:lang w:val="en-US" w:eastAsia="zh-CN" w:bidi="ar"/>
              </w:rPr>
              <w:t>95%</w:t>
            </w:r>
          </w:p>
        </w:tc>
      </w:tr>
      <w:tr>
        <w:tblPrEx>
          <w:tblCellMar>
            <w:top w:w="0" w:type="dxa"/>
            <w:left w:w="108" w:type="dxa"/>
            <w:bottom w:w="0" w:type="dxa"/>
            <w:right w:w="108" w:type="dxa"/>
          </w:tblCellMar>
        </w:tblPrEx>
        <w:trPr>
          <w:gridAfter w:val="8"/>
          <w:wAfter w:w="26" w:type="dxa"/>
          <w:trHeight w:val="837" w:hRule="atLeast"/>
        </w:trPr>
        <w:tc>
          <w:tcPr>
            <w:tcW w:w="3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47" w:type="dxa"/>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hint="eastAsia" w:ascii="宋体" w:hAnsi="宋体" w:eastAsia="宋体" w:cs="宋体"/>
                <w:b/>
                <w:bCs/>
                <w:kern w:val="0"/>
                <w:sz w:val="16"/>
                <w:szCs w:val="16"/>
                <w:lang w:val="en-US" w:eastAsia="zh-CN"/>
              </w:rPr>
            </w:pPr>
          </w:p>
        </w:tc>
        <w:tc>
          <w:tcPr>
            <w:tcW w:w="2040"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kern w:val="0"/>
                <w:sz w:val="16"/>
                <w:szCs w:val="16"/>
                <w:lang w:val="en-US" w:eastAsia="zh-CN"/>
              </w:rPr>
            </w:pPr>
          </w:p>
        </w:tc>
        <w:tc>
          <w:tcPr>
            <w:tcW w:w="280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退休教师满意度</w:t>
            </w:r>
          </w:p>
        </w:tc>
        <w:tc>
          <w:tcPr>
            <w:tcW w:w="140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≥95%</w:t>
            </w:r>
          </w:p>
        </w:tc>
        <w:tc>
          <w:tcPr>
            <w:tcW w:w="14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16"/>
                <w:szCs w:val="16"/>
                <w:lang w:val="en-US" w:eastAsia="zh-CN"/>
              </w:rPr>
            </w:pPr>
            <w:r>
              <w:rPr>
                <w:rFonts w:hint="eastAsia" w:ascii="宋体" w:hAnsi="宋体" w:eastAsia="宋体" w:cs="宋体"/>
                <w:i w:val="0"/>
                <w:iCs w:val="0"/>
                <w:color w:val="000000"/>
                <w:kern w:val="0"/>
                <w:sz w:val="18"/>
                <w:szCs w:val="18"/>
                <w:u w:val="none"/>
                <w:lang w:val="en-US" w:eastAsia="zh-CN" w:bidi="ar"/>
              </w:rPr>
              <w:t>95%</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06E87C"/>
    <w:multiLevelType w:val="singleLevel"/>
    <w:tmpl w:val="9706E87C"/>
    <w:lvl w:ilvl="0" w:tentative="0">
      <w:start w:val="6"/>
      <w:numFmt w:val="chineseCounting"/>
      <w:suff w:val="nothing"/>
      <w:lvlText w:val="%1、"/>
      <w:lvlJc w:val="left"/>
      <w:rPr>
        <w:rFonts w:hint="eastAsia"/>
      </w:rPr>
    </w:lvl>
  </w:abstractNum>
  <w:abstractNum w:abstractNumId="1">
    <w:nsid w:val="CBE3FC89"/>
    <w:multiLevelType w:val="singleLevel"/>
    <w:tmpl w:val="CBE3FC89"/>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97F204F"/>
    <w:rsid w:val="0D163CA0"/>
    <w:rsid w:val="0E9A5E97"/>
    <w:rsid w:val="0F645E16"/>
    <w:rsid w:val="11EF4857"/>
    <w:rsid w:val="12241F50"/>
    <w:rsid w:val="14340500"/>
    <w:rsid w:val="1EB60E4D"/>
    <w:rsid w:val="291D56AB"/>
    <w:rsid w:val="32315F88"/>
    <w:rsid w:val="3A3630A1"/>
    <w:rsid w:val="3FD33565"/>
    <w:rsid w:val="42340E22"/>
    <w:rsid w:val="42A0517A"/>
    <w:rsid w:val="44F812F3"/>
    <w:rsid w:val="49964E45"/>
    <w:rsid w:val="5F114A88"/>
    <w:rsid w:val="621D690D"/>
    <w:rsid w:val="6A4A29E6"/>
    <w:rsid w:val="701C776A"/>
    <w:rsid w:val="7CCE1D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6559</Words>
  <Characters>7151</Characters>
  <Lines>72</Lines>
  <Paragraphs>20</Paragraphs>
  <TotalTime>14</TotalTime>
  <ScaleCrop>false</ScaleCrop>
  <LinksUpToDate>false</LinksUpToDate>
  <CharactersWithSpaces>7191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2022-05-27T05:37:23Z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27C300D521C546618F967FEBB0F56EAD</vt:lpwstr>
  </property>
  <property fmtid="{D5CDD505-2E9C-101B-9397-08002B2CF9AE}" pid="4" name="KSOSaveFontToCloudKey">
    <vt:lpwstr>300751257_cloud</vt:lpwstr>
  </property>
</Properties>
</file>